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Times New Roman" w:hAnsi="Times New Roman"/>
        </w:rPr>
      </w:pPr>
      <w:bookmarkStart w:id="0" w:name="OLE_LINK24"/>
      <w:bookmarkStart w:id="1" w:name="OLE_LINK12"/>
      <w:bookmarkStart w:id="2" w:name="OLE_LINK13"/>
      <w:bookmarkStart w:id="3" w:name="OLE_LINK34"/>
      <w:bookmarkStart w:id="4" w:name="OLE_LINK33"/>
      <w:bookmarkStart w:id="30" w:name="_GoBack"/>
      <w:r>
        <w:rPr>
          <w:rFonts w:ascii="Times New Roman" w:hAnsi="Times New Roman"/>
          <w:b/>
        </w:rPr>
        <w:t>3GPP TSG RAN WG1 #1</w:t>
      </w:r>
      <w:r>
        <w:rPr>
          <w:rFonts w:hint="eastAsia" w:ascii="Times New Roman" w:hAnsi="Times New Roman"/>
          <w:b/>
        </w:rPr>
        <w:t xml:space="preserve">12 </w:t>
      </w:r>
      <w:r>
        <w:rPr>
          <w:rFonts w:ascii="Times New Roman" w:hAnsi="Times New Roman"/>
          <w:b/>
        </w:rPr>
        <w:t xml:space="preserve">                                                 R1-2300807</w:t>
      </w:r>
    </w:p>
    <w:p>
      <w:pPr>
        <w:tabs>
          <w:tab w:val="center" w:pos="4536"/>
          <w:tab w:val="right" w:pos="8280"/>
          <w:tab w:val="right" w:pos="9639"/>
        </w:tabs>
        <w:snapToGrid w:val="0"/>
        <w:spacing w:after="0" w:line="240" w:lineRule="auto"/>
        <w:ind w:left="442" w:right="2" w:hanging="440" w:hangingChars="200"/>
        <w:jc w:val="both"/>
        <w:rPr>
          <w:rFonts w:ascii="Times New Roman" w:hAnsi="Times New Roman"/>
          <w:b/>
        </w:rPr>
      </w:pPr>
      <w:r>
        <w:rPr>
          <w:rFonts w:ascii="Times New Roman" w:hAnsi="Times New Roman" w:eastAsia="MS Mincho"/>
          <w:b/>
          <w:bCs/>
          <w:lang w:eastAsia="ja-JP"/>
        </w:rPr>
        <w:t>Athens, Greece, February 27</w:t>
      </w:r>
      <w:r>
        <w:rPr>
          <w:rFonts w:ascii="Times New Roman" w:hAnsi="Times New Roman" w:eastAsia="MS Mincho"/>
          <w:b/>
          <w:bCs/>
          <w:vertAlign w:val="superscript"/>
          <w:lang w:eastAsia="ja-JP"/>
        </w:rPr>
        <w:t>th</w:t>
      </w:r>
      <w:r>
        <w:rPr>
          <w:rFonts w:ascii="Times New Roman" w:hAnsi="Times New Roman" w:eastAsia="MS Mincho"/>
          <w:b/>
          <w:bCs/>
          <w:lang w:eastAsia="ja-JP"/>
        </w:rPr>
        <w:t xml:space="preserve"> – March 3</w:t>
      </w:r>
      <w:r>
        <w:rPr>
          <w:rFonts w:ascii="Times New Roman" w:hAnsi="Times New Roman" w:eastAsia="MS Mincho"/>
          <w:b/>
          <w:bCs/>
          <w:vertAlign w:val="superscript"/>
          <w:lang w:eastAsia="ja-JP"/>
        </w:rPr>
        <w:t>rd</w:t>
      </w:r>
      <w:r>
        <w:rPr>
          <w:rFonts w:ascii="Times New Roman" w:hAnsi="Times New Roman" w:eastAsia="MS Mincho"/>
          <w:b/>
          <w:bCs/>
          <w:lang w:eastAsia="ja-JP"/>
        </w:rPr>
        <w:t xml:space="preserve">, </w:t>
      </w:r>
      <w:r>
        <w:rPr>
          <w:rFonts w:ascii="Times New Roman" w:hAnsi="Times New Roman"/>
          <w:b/>
        </w:rPr>
        <w:t>202</w:t>
      </w:r>
      <w:r>
        <w:rPr>
          <w:rFonts w:hint="eastAsia" w:ascii="Times New Roman" w:hAnsi="Times New Roman"/>
          <w:b/>
        </w:rPr>
        <w:t>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eastAsia="宋体"/>
          <w:b/>
        </w:rPr>
      </w:pPr>
      <w:r>
        <w:rPr>
          <w:rFonts w:ascii="Times New Roman" w:hAnsi="Times New Roman" w:eastAsia="宋体"/>
          <w:b/>
        </w:rPr>
        <w:t xml:space="preserve">Title:            Discussion on </w:t>
      </w:r>
      <w:r>
        <w:rPr>
          <w:rFonts w:hint="eastAsia" w:ascii="Times New Roman" w:hAnsi="Times New Roman" w:eastAsia="宋体"/>
          <w:b/>
        </w:rPr>
        <w:t>BW aggregation for positioning</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9.5.</w:t>
      </w:r>
      <w:r>
        <w:rPr>
          <w:rFonts w:hint="eastAsia" w:ascii="Times New Roman" w:hAnsi="Times New Roman" w:eastAsia="宋体"/>
          <w:b/>
        </w:rPr>
        <w:t>4</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numPr>
          <w:ilvl w:val="0"/>
          <w:numId w:val="3"/>
        </w:numPr>
        <w:snapToGrid w:val="0"/>
        <w:spacing w:before="120" w:after="180" w:afterLines="50"/>
        <w:jc w:val="both"/>
        <w:rPr>
          <w:rFonts w:ascii="Times New Roman" w:hAnsi="Times New Roman"/>
          <w:sz w:val="28"/>
          <w:lang w:val="en-US"/>
        </w:rPr>
      </w:pPr>
      <w:bookmarkStart w:id="5" w:name="OLE_LINK1"/>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In Rel-17, the technique of PRS/SRS bandwidth aggregation was evaluated and the performance gain was proved [1]. However, due to lack of feasibility check from RAN4, it was not specified in Rel-17 eventually.</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In SI of NR Rel-18 positioning, RAN4 studied bandwidth aggregation for positioning measurement. The following conclusions are captured in the TR 38.859 [2].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40" w:hRule="atLeast"/>
        </w:trPr>
        <w:tc>
          <w:tcPr>
            <w:tcW w:w="9302" w:type="dxa"/>
          </w:tcPr>
          <w:p>
            <w:pPr>
              <w:pStyle w:val="93"/>
              <w:snapToGrid w:val="0"/>
              <w:spacing w:line="240" w:lineRule="auto"/>
              <w:ind w:left="0"/>
              <w:rPr>
                <w:sz w:val="20"/>
              </w:rPr>
            </w:pPr>
            <w:r>
              <w:rPr>
                <w:sz w:val="20"/>
              </w:rPr>
              <w:object>
                <v:shape id="_x0000_i1025" o:spt="75" type="#_x0000_t75" style="height:618.75pt;width:454.5pt;" o:ole="t" filled="f" o:preferrelative="t" stroked="f" coordsize="21600,21600">
                  <v:path/>
                  <v:fill on="f" focussize="0,0"/>
                  <v:stroke on="f" joinstyle="miter"/>
                  <v:imagedata r:id="rId8" o:title=""/>
                  <o:lock v:ext="edit" aspectratio="f"/>
                  <w10:wrap type="none"/>
                  <w10:anchorlock/>
                </v:shape>
                <o:OLEObject Type="Embed" ProgID="Word.Document.8" ShapeID="_x0000_i1025" DrawAspect="Content" ObjectID="_1468075725" r:id="rId7">
                  <o:LockedField>false</o:LockedField>
                </o:OLEObject>
              </w:object>
            </w:r>
          </w:p>
        </w:tc>
      </w:tr>
    </w:tbl>
    <w:p>
      <w:pPr>
        <w:snapToGrid w:val="0"/>
        <w:spacing w:before="180" w:beforeLines="50" w:after="180" w:afterLines="50" w:line="240" w:lineRule="auto"/>
        <w:jc w:val="both"/>
        <w:rPr>
          <w:rFonts w:ascii="Times New Roman" w:hAnsi="Times New Roman"/>
          <w:iCs/>
          <w:sz w:val="20"/>
          <w:szCs w:val="20"/>
        </w:rPr>
      </w:pP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 RAN#9</w:t>
      </w:r>
      <w:r>
        <w:rPr>
          <w:rFonts w:hint="eastAsia" w:ascii="Times New Roman" w:hAnsi="Times New Roman"/>
          <w:iCs/>
          <w:sz w:val="20"/>
          <w:szCs w:val="20"/>
        </w:rPr>
        <w:t>8</w:t>
      </w:r>
      <w:r>
        <w:rPr>
          <w:rFonts w:ascii="Times New Roman" w:hAnsi="Times New Roman"/>
          <w:iCs/>
          <w:sz w:val="20"/>
          <w:szCs w:val="20"/>
        </w:rPr>
        <w:t xml:space="preserve">e meeting, a </w:t>
      </w:r>
      <w:r>
        <w:rPr>
          <w:rFonts w:hint="eastAsia" w:ascii="Times New Roman" w:hAnsi="Times New Roman"/>
          <w:iCs/>
          <w:sz w:val="20"/>
          <w:szCs w:val="20"/>
        </w:rPr>
        <w:t>W</w:t>
      </w:r>
      <w:r>
        <w:rPr>
          <w:rFonts w:ascii="Times New Roman" w:hAnsi="Times New Roman"/>
          <w:iCs/>
          <w:sz w:val="20"/>
          <w:szCs w:val="20"/>
        </w:rPr>
        <w:t xml:space="preserve">ID </w:t>
      </w:r>
      <w:r>
        <w:rPr>
          <w:rFonts w:hint="eastAsia" w:ascii="Times New Roman" w:hAnsi="Times New Roman"/>
          <w:iCs/>
          <w:sz w:val="20"/>
          <w:szCs w:val="20"/>
        </w:rPr>
        <w:t>o</w:t>
      </w:r>
      <w:r>
        <w:rPr>
          <w:rFonts w:ascii="Times New Roman" w:hAnsi="Times New Roman"/>
          <w:iCs/>
          <w:sz w:val="20"/>
          <w:szCs w:val="20"/>
        </w:rPr>
        <w:t xml:space="preserve">n Expanded and Improved NR Positioning was approved for Rel-18 where one item is to </w:t>
      </w:r>
      <w:r>
        <w:rPr>
          <w:rFonts w:hint="eastAsia" w:ascii="Times New Roman" w:hAnsi="Times New Roman"/>
          <w:iCs/>
          <w:sz w:val="20"/>
          <w:szCs w:val="20"/>
        </w:rPr>
        <w:t xml:space="preserve">specify </w:t>
      </w:r>
      <w:r>
        <w:rPr>
          <w:rFonts w:ascii="Times New Roman" w:hAnsi="Times New Roman"/>
          <w:iCs/>
          <w:sz w:val="20"/>
          <w:szCs w:val="20"/>
        </w:rPr>
        <w:t xml:space="preserve">bandwidth aggregation </w:t>
      </w:r>
      <w:r>
        <w:rPr>
          <w:rFonts w:ascii="Times New Roman" w:hAnsi="Times New Roman"/>
          <w:bCs/>
          <w:sz w:val="20"/>
          <w:szCs w:val="20"/>
        </w:rPr>
        <w:t>techniques</w:t>
      </w:r>
      <w:r>
        <w:rPr>
          <w:rFonts w:ascii="Times New Roman" w:hAnsi="Times New Roman"/>
          <w:iCs/>
          <w:sz w:val="20"/>
          <w:szCs w:val="20"/>
        </w:rPr>
        <w:t xml:space="preserve"> as follows [</w:t>
      </w:r>
      <w:r>
        <w:rPr>
          <w:rFonts w:hint="eastAsia" w:ascii="Times New Roman" w:hAnsi="Times New Roman"/>
          <w:iCs/>
          <w:sz w:val="20"/>
          <w:szCs w:val="20"/>
        </w:rPr>
        <w:t>3</w:t>
      </w:r>
      <w:r>
        <w:rPr>
          <w:rFonts w:ascii="Times New Roman" w:hAnsi="Times New Roman"/>
          <w:iCs/>
          <w:sz w:val="20"/>
          <w:szCs w:val="20"/>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40" w:hRule="atLeast"/>
        </w:trPr>
        <w:tc>
          <w:tcPr>
            <w:tcW w:w="9302" w:type="dxa"/>
          </w:tcPr>
          <w:p>
            <w:pPr>
              <w:numPr>
                <w:ilvl w:val="0"/>
                <w:numId w:val="4"/>
              </w:numPr>
              <w:snapToGrid w:val="0"/>
              <w:spacing w:after="0" w:line="240" w:lineRule="auto"/>
              <w:ind w:hanging="363"/>
              <w:rPr>
                <w:rFonts w:ascii="Times New Roman" w:hAnsi="Times New Roman" w:eastAsia="MS Mincho"/>
                <w:sz w:val="20"/>
                <w:szCs w:val="20"/>
                <w:lang w:eastAsia="ko-KR"/>
              </w:rPr>
            </w:pPr>
            <w:r>
              <w:rPr>
                <w:rFonts w:ascii="Times New Roman" w:hAnsi="Times New Roman" w:eastAsia="MS Mincho"/>
                <w:sz w:val="20"/>
                <w:szCs w:val="20"/>
                <w:lang w:eastAsia="ko-KR"/>
              </w:rPr>
              <w:t>Specify bandwidth aggregation for positioning measurements across up to three intra-band contiguous carriers [RAN1, RAN2, RAN4].</w:t>
            </w:r>
          </w:p>
          <w:p>
            <w:pPr>
              <w:numPr>
                <w:ilvl w:val="1"/>
                <w:numId w:val="4"/>
              </w:numPr>
              <w:snapToGrid w:val="0"/>
              <w:spacing w:after="0" w:line="240" w:lineRule="auto"/>
              <w:ind w:hanging="363"/>
              <w:rPr>
                <w:rFonts w:ascii="Times New Roman" w:hAnsi="Times New Roman"/>
                <w:sz w:val="20"/>
                <w:szCs w:val="20"/>
                <w:lang w:eastAsia="ko-KR"/>
              </w:rPr>
            </w:pPr>
            <w:r>
              <w:rPr>
                <w:rFonts w:ascii="Times New Roman" w:hAnsi="Times New Roman"/>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spacing w:after="0" w:line="240" w:lineRule="auto"/>
              <w:ind w:hanging="363"/>
              <w:rPr>
                <w:rFonts w:ascii="Times New Roman" w:hAnsi="Times New Roman"/>
                <w:sz w:val="20"/>
                <w:szCs w:val="20"/>
                <w:lang w:eastAsia="ko-KR"/>
              </w:rPr>
            </w:pPr>
            <w:r>
              <w:rPr>
                <w:rFonts w:ascii="Times New Roman" w:hAnsi="Times New Roman"/>
                <w:sz w:val="20"/>
                <w:szCs w:val="20"/>
                <w:lang w:eastAsia="ko-KR"/>
              </w:rPr>
              <w:t>NOTE: The support of bandwidth aggregation for positioning measurements applies only to timing related measurements (e.g., RSTD, RTOA, and UE/gNB Rx-Tx time difference).</w:t>
            </w:r>
          </w:p>
          <w:p>
            <w:pPr>
              <w:pStyle w:val="93"/>
              <w:numPr>
                <w:ilvl w:val="1"/>
                <w:numId w:val="4"/>
              </w:numPr>
              <w:snapToGrid w:val="0"/>
              <w:spacing w:line="240" w:lineRule="auto"/>
              <w:ind w:hanging="363"/>
            </w:pPr>
            <w:r>
              <w:rPr>
                <w:sz w:val="20"/>
                <w:lang w:eastAsia="ko-KR"/>
              </w:rPr>
              <w:t>Specify RRM requirements with measurement gaps in connected mode, and in inactive mode, including PRS measurement period/reporting [RAN4].</w:t>
            </w:r>
          </w:p>
        </w:tc>
      </w:tr>
    </w:tbl>
    <w:p>
      <w:pPr>
        <w:adjustRightInd w:val="0"/>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 xml:space="preserve">In this contribution, we provide our views on </w:t>
      </w:r>
      <w:r>
        <w:rPr>
          <w:rFonts w:hint="eastAsia" w:ascii="Times New Roman" w:hAnsi="Times New Roman"/>
          <w:iCs/>
          <w:sz w:val="20"/>
          <w:szCs w:val="20"/>
        </w:rPr>
        <w:t xml:space="preserve">how to specify signaling and procedures to </w:t>
      </w:r>
      <w:r>
        <w:rPr>
          <w:rFonts w:ascii="Times New Roman" w:hAnsi="Times New Roman"/>
          <w:sz w:val="20"/>
          <w:szCs w:val="20"/>
          <w:lang w:eastAsia="ko-KR"/>
        </w:rPr>
        <w:t xml:space="preserve">support aggregation of PRS/SRS across PFLs/carriers </w:t>
      </w:r>
      <w:r>
        <w:rPr>
          <w:rFonts w:ascii="Times New Roman" w:hAnsi="Times New Roman"/>
          <w:iCs/>
          <w:sz w:val="20"/>
          <w:szCs w:val="20"/>
        </w:rPr>
        <w:t>from RAN1 perspective.</w:t>
      </w:r>
    </w:p>
    <w:bookmarkEnd w:id="5"/>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PRS BW aggregation</w:t>
      </w: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DL-PRS Assistance data</w:t>
      </w:r>
    </w:p>
    <w:p>
      <w:pPr>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For DL PRS bandwidth aggregation, as RAN4 has concluded that PRS from multiple PFLs (positioning frequency layers) should be transmitted in the same time from the same antenna, and the numerology of PFLs should be the same. </w:t>
      </w:r>
    </w:p>
    <w:p>
      <w:pPr>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From PRS configuration signaling perspective, LMF should explicitly inform UE which two or three PFLs are linked for aggregation as shown in Figure 2.1-1, where the PRS resource and resources sets between PFL#i and PFL#j are one-to-one mapping/linked for bandwidth aggregation. </w:t>
      </w:r>
    </w:p>
    <w:p>
      <w:pPr>
        <w:snapToGrid w:val="0"/>
        <w:spacing w:before="180" w:beforeLines="50" w:after="180" w:afterLines="50" w:line="240" w:lineRule="auto"/>
        <w:jc w:val="center"/>
        <w:rPr>
          <w:rFonts w:ascii="Times New Roman" w:hAnsi="Times New Roman"/>
          <w:sz w:val="20"/>
          <w:szCs w:val="20"/>
        </w:rPr>
      </w:pPr>
      <w:r>
        <w:drawing>
          <wp:inline distT="0" distB="0" distL="114300" distR="114300">
            <wp:extent cx="4095115" cy="3033395"/>
            <wp:effectExtent l="0" t="0" r="635" b="1460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9"/>
                    <a:stretch>
                      <a:fillRect/>
                    </a:stretch>
                  </pic:blipFill>
                  <pic:spPr>
                    <a:xfrm>
                      <a:off x="0" y="0"/>
                      <a:ext cx="4095115" cy="303339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2.1-1 </w:t>
      </w:r>
      <w:bookmarkStart w:id="6" w:name="OLE_LINK3"/>
      <w:bookmarkStart w:id="7" w:name="OLE_LINK4"/>
      <w:r>
        <w:rPr>
          <w:rFonts w:hint="eastAsia" w:ascii="Times New Roman" w:hAnsi="Times New Roman"/>
          <w:sz w:val="20"/>
          <w:szCs w:val="20"/>
        </w:rPr>
        <w:t>One-to-one mapping for PRS resources between two PFLs</w:t>
      </w:r>
      <w:bookmarkEnd w:id="6"/>
      <w:bookmarkEnd w:id="7"/>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To make PRS between aggregated PFLs consistent</w:t>
      </w:r>
      <w:r>
        <w:rPr>
          <w:rFonts w:ascii="Times New Roman" w:hAnsi="Times New Roman"/>
          <w:iCs/>
          <w:sz w:val="20"/>
          <w:szCs w:val="20"/>
        </w:rPr>
        <w:t xml:space="preserve"> as described in WID</w:t>
      </w:r>
      <w:r>
        <w:rPr>
          <w:rFonts w:hint="eastAsia" w:ascii="Times New Roman" w:hAnsi="Times New Roman"/>
          <w:iCs/>
          <w:sz w:val="20"/>
          <w:szCs w:val="20"/>
        </w:rPr>
        <w:t xml:space="preserve">, we think the following </w:t>
      </w:r>
      <w:r>
        <w:rPr>
          <w:rFonts w:ascii="Times New Roman" w:hAnsi="Times New Roman"/>
          <w:iCs/>
          <w:sz w:val="20"/>
          <w:szCs w:val="20"/>
        </w:rPr>
        <w:t>conditions</w:t>
      </w:r>
      <w:r>
        <w:rPr>
          <w:rFonts w:hint="eastAsia" w:ascii="Times New Roman" w:hAnsi="Times New Roman"/>
          <w:iCs/>
          <w:sz w:val="20"/>
          <w:szCs w:val="20"/>
        </w:rPr>
        <w:t xml:space="preserve"> should be ensured </w:t>
      </w:r>
      <w:r>
        <w:rPr>
          <w:rFonts w:ascii="Times New Roman" w:hAnsi="Times New Roman"/>
          <w:iCs/>
          <w:sz w:val="20"/>
          <w:szCs w:val="20"/>
        </w:rPr>
        <w:t>among</w:t>
      </w:r>
      <w:r>
        <w:rPr>
          <w:rFonts w:hint="eastAsia" w:ascii="Times New Roman" w:hAnsi="Times New Roman"/>
          <w:iCs/>
          <w:sz w:val="20"/>
          <w:szCs w:val="20"/>
        </w:rPr>
        <w:t xml:space="preserve"> the linked PFLs.</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TRP ID should be the same to ensure the linked PFLs are from the same TRPs. </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CP and SCS should be the same as RAN4 concluded</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PRS Comb sizes should be the same </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The number of PRS resource sets should be the same</w:t>
      </w:r>
    </w:p>
    <w:p>
      <w:pPr>
        <w:numPr>
          <w:ilvl w:val="1"/>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The m</w:t>
      </w:r>
      <w:r>
        <w:rPr>
          <w:rFonts w:hint="eastAsia" w:ascii="Times New Roman" w:hAnsi="Times New Roman"/>
          <w:iCs/>
          <w:sz w:val="20"/>
          <w:szCs w:val="20"/>
          <w:vertAlign w:val="superscript"/>
        </w:rPr>
        <w:t>th</w:t>
      </w:r>
      <w:r>
        <w:rPr>
          <w:rFonts w:hint="eastAsia" w:ascii="Times New Roman" w:hAnsi="Times New Roman"/>
          <w:iCs/>
          <w:sz w:val="20"/>
          <w:szCs w:val="20"/>
        </w:rPr>
        <w:t xml:space="preserve"> PRS resource set in PFL#i is linked with the m</w:t>
      </w:r>
      <w:r>
        <w:rPr>
          <w:rFonts w:hint="eastAsia" w:ascii="Times New Roman" w:hAnsi="Times New Roman"/>
          <w:iCs/>
          <w:sz w:val="20"/>
          <w:szCs w:val="20"/>
          <w:vertAlign w:val="superscript"/>
        </w:rPr>
        <w:t>th</w:t>
      </w:r>
      <w:r>
        <w:rPr>
          <w:rFonts w:hint="eastAsia" w:ascii="Times New Roman" w:hAnsi="Times New Roman"/>
          <w:iCs/>
          <w:sz w:val="20"/>
          <w:szCs w:val="20"/>
        </w:rPr>
        <w:t xml:space="preserve"> PRS resource set in PFL#j by default, i.e. one-to-one link between PRS resource sets of </w:t>
      </w:r>
      <w:r>
        <w:rPr>
          <w:rFonts w:ascii="Times New Roman" w:hAnsi="Times New Roman"/>
          <w:iCs/>
          <w:sz w:val="20"/>
          <w:szCs w:val="20"/>
        </w:rPr>
        <w:t xml:space="preserve">the </w:t>
      </w:r>
      <w:r>
        <w:rPr>
          <w:rFonts w:hint="eastAsia" w:ascii="Times New Roman" w:hAnsi="Times New Roman"/>
          <w:iCs/>
          <w:sz w:val="20"/>
          <w:szCs w:val="20"/>
        </w:rPr>
        <w:t>linked P</w:t>
      </w:r>
      <w:r>
        <w:rPr>
          <w:rFonts w:ascii="Times New Roman" w:hAnsi="Times New Roman"/>
          <w:iCs/>
          <w:sz w:val="20"/>
          <w:szCs w:val="20"/>
        </w:rPr>
        <w:t>FL</w:t>
      </w:r>
      <w:r>
        <w:rPr>
          <w:rFonts w:hint="eastAsia" w:ascii="Times New Roman" w:hAnsi="Times New Roman"/>
          <w:iCs/>
          <w:sz w:val="20"/>
          <w:szCs w:val="20"/>
        </w:rPr>
        <w:t>s.</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The number of PRS resources in the linked PRS resource sets should be the same</w:t>
      </w:r>
    </w:p>
    <w:p>
      <w:pPr>
        <w:numPr>
          <w:ilvl w:val="1"/>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The n</w:t>
      </w:r>
      <w:r>
        <w:rPr>
          <w:rFonts w:hint="eastAsia" w:ascii="Times New Roman" w:hAnsi="Times New Roman"/>
          <w:iCs/>
          <w:sz w:val="20"/>
          <w:szCs w:val="20"/>
          <w:vertAlign w:val="superscript"/>
        </w:rPr>
        <w:t>th</w:t>
      </w:r>
      <w:r>
        <w:rPr>
          <w:rFonts w:hint="eastAsia" w:ascii="Times New Roman" w:hAnsi="Times New Roman"/>
          <w:iCs/>
          <w:sz w:val="20"/>
          <w:szCs w:val="20"/>
        </w:rPr>
        <w:t xml:space="preserve"> PRS resource in m</w:t>
      </w:r>
      <w:r>
        <w:rPr>
          <w:rFonts w:hint="eastAsia" w:ascii="Times New Roman" w:hAnsi="Times New Roman"/>
          <w:iCs/>
          <w:sz w:val="20"/>
          <w:szCs w:val="20"/>
          <w:vertAlign w:val="superscript"/>
        </w:rPr>
        <w:t>th</w:t>
      </w:r>
      <w:r>
        <w:rPr>
          <w:rFonts w:hint="eastAsia" w:ascii="Times New Roman" w:hAnsi="Times New Roman"/>
          <w:iCs/>
          <w:sz w:val="20"/>
          <w:szCs w:val="20"/>
        </w:rPr>
        <w:t xml:space="preserve"> PRS resource set in PFL#i is linked with the n</w:t>
      </w:r>
      <w:r>
        <w:rPr>
          <w:rFonts w:hint="eastAsia" w:ascii="Times New Roman" w:hAnsi="Times New Roman"/>
          <w:iCs/>
          <w:sz w:val="20"/>
          <w:szCs w:val="20"/>
          <w:vertAlign w:val="superscript"/>
        </w:rPr>
        <w:t>th</w:t>
      </w:r>
      <w:r>
        <w:rPr>
          <w:rFonts w:hint="eastAsia" w:ascii="Times New Roman" w:hAnsi="Times New Roman"/>
          <w:iCs/>
          <w:sz w:val="20"/>
          <w:szCs w:val="20"/>
        </w:rPr>
        <w:t xml:space="preserve"> PRS resource in m</w:t>
      </w:r>
      <w:r>
        <w:rPr>
          <w:rFonts w:hint="eastAsia" w:ascii="Times New Roman" w:hAnsi="Times New Roman"/>
          <w:iCs/>
          <w:sz w:val="20"/>
          <w:szCs w:val="20"/>
          <w:vertAlign w:val="superscript"/>
        </w:rPr>
        <w:t>th</w:t>
      </w:r>
      <w:r>
        <w:rPr>
          <w:rFonts w:hint="eastAsia" w:ascii="Times New Roman" w:hAnsi="Times New Roman"/>
          <w:iCs/>
          <w:sz w:val="20"/>
          <w:szCs w:val="20"/>
        </w:rPr>
        <w:t xml:space="preserve"> PRS resource set in PFL#j by default, i.e. one-to-one link between PRS resources of linked PRS resource sets in aggregated P</w:t>
      </w:r>
      <w:r>
        <w:rPr>
          <w:rFonts w:ascii="Times New Roman" w:hAnsi="Times New Roman"/>
          <w:iCs/>
          <w:sz w:val="20"/>
          <w:szCs w:val="20"/>
        </w:rPr>
        <w:t>FL</w:t>
      </w:r>
      <w:r>
        <w:rPr>
          <w:rFonts w:hint="eastAsia" w:ascii="Times New Roman" w:hAnsi="Times New Roman"/>
          <w:iCs/>
          <w:sz w:val="20"/>
          <w:szCs w:val="20"/>
        </w:rPr>
        <w:t>s.</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The linked PRS resources should be in the same symbol(s) which can be ensured by parameters configured in </w:t>
      </w:r>
      <w:r>
        <w:rPr>
          <w:rFonts w:hint="eastAsia" w:ascii="Times New Roman" w:hAnsi="Times New Roman"/>
          <w:i/>
          <w:sz w:val="20"/>
          <w:szCs w:val="20"/>
        </w:rPr>
        <w:t>NR-DL-PRS-ResourceSet</w:t>
      </w:r>
      <w:r>
        <w:rPr>
          <w:rFonts w:hint="eastAsia" w:ascii="Times New Roman" w:hAnsi="Times New Roman"/>
          <w:iCs/>
          <w:sz w:val="20"/>
          <w:szCs w:val="20"/>
        </w:rPr>
        <w:t xml:space="preserve">, such as </w:t>
      </w:r>
      <w:r>
        <w:rPr>
          <w:rFonts w:hint="eastAsia" w:ascii="Times New Roman" w:hAnsi="Times New Roman"/>
          <w:i/>
          <w:sz w:val="20"/>
          <w:szCs w:val="20"/>
        </w:rPr>
        <w:t>dl-PRS-Periodicity-and-ResourceSetSlotOffset</w:t>
      </w:r>
      <w:r>
        <w:rPr>
          <w:rFonts w:hint="eastAsia" w:ascii="Times New Roman" w:hAnsi="Times New Roman"/>
          <w:iCs/>
          <w:sz w:val="20"/>
          <w:szCs w:val="20"/>
        </w:rPr>
        <w:t xml:space="preserve">, </w:t>
      </w:r>
      <w:r>
        <w:rPr>
          <w:rFonts w:hint="eastAsia" w:ascii="Times New Roman" w:hAnsi="Times New Roman"/>
          <w:i/>
          <w:sz w:val="20"/>
          <w:szCs w:val="20"/>
        </w:rPr>
        <w:t>dl-PRS-ResourceRepetitionFactor</w:t>
      </w:r>
      <w:r>
        <w:rPr>
          <w:rFonts w:hint="eastAsia" w:ascii="Times New Roman" w:hAnsi="Times New Roman"/>
          <w:iCs/>
          <w:sz w:val="20"/>
          <w:szCs w:val="20"/>
        </w:rPr>
        <w:t xml:space="preserve">, </w:t>
      </w:r>
      <w:r>
        <w:rPr>
          <w:rFonts w:hint="eastAsia" w:ascii="Times New Roman" w:hAnsi="Times New Roman"/>
          <w:i/>
          <w:sz w:val="20"/>
          <w:szCs w:val="20"/>
        </w:rPr>
        <w:t>dl-PRS-ResourceTimeGap</w:t>
      </w:r>
      <w:r>
        <w:rPr>
          <w:rFonts w:hint="eastAsia" w:ascii="Times New Roman" w:hAnsi="Times New Roman"/>
          <w:iCs/>
          <w:sz w:val="20"/>
          <w:szCs w:val="20"/>
        </w:rPr>
        <w:t xml:space="preserve">, </w:t>
      </w:r>
      <w:r>
        <w:rPr>
          <w:rFonts w:hint="eastAsia" w:ascii="Times New Roman" w:hAnsi="Times New Roman"/>
          <w:i/>
          <w:sz w:val="20"/>
          <w:szCs w:val="20"/>
        </w:rPr>
        <w:t>dl-PRS-MutingOption1</w:t>
      </w:r>
      <w:r>
        <w:rPr>
          <w:rFonts w:hint="eastAsia" w:ascii="Times New Roman" w:hAnsi="Times New Roman"/>
          <w:iCs/>
          <w:sz w:val="20"/>
          <w:szCs w:val="20"/>
        </w:rPr>
        <w:t xml:space="preserve">, </w:t>
      </w:r>
      <w:r>
        <w:rPr>
          <w:rFonts w:hint="eastAsia" w:ascii="Times New Roman" w:hAnsi="Times New Roman"/>
          <w:i/>
          <w:sz w:val="20"/>
          <w:szCs w:val="20"/>
        </w:rPr>
        <w:t>dl-PRS-MutingOption2</w:t>
      </w:r>
      <w:r>
        <w:rPr>
          <w:rFonts w:hint="eastAsia" w:ascii="Times New Roman" w:hAnsi="Times New Roman"/>
          <w:iCs/>
          <w:sz w:val="20"/>
          <w:szCs w:val="20"/>
        </w:rPr>
        <w:t xml:space="preserve">, and parameters configured in </w:t>
      </w:r>
      <w:r>
        <w:rPr>
          <w:rFonts w:hint="eastAsia" w:ascii="Times New Roman" w:hAnsi="Times New Roman"/>
          <w:i/>
          <w:sz w:val="20"/>
          <w:szCs w:val="20"/>
        </w:rPr>
        <w:t xml:space="preserve">NR-DL-PRS-Resource, </w:t>
      </w:r>
      <w:r>
        <w:rPr>
          <w:rFonts w:hint="eastAsia" w:ascii="Times New Roman" w:hAnsi="Times New Roman"/>
          <w:iCs/>
          <w:sz w:val="20"/>
          <w:szCs w:val="20"/>
        </w:rPr>
        <w:t>such as</w:t>
      </w:r>
      <w:r>
        <w:rPr>
          <w:rFonts w:hint="eastAsia" w:ascii="Times New Roman" w:hAnsi="Times New Roman"/>
          <w:i/>
          <w:sz w:val="20"/>
          <w:szCs w:val="20"/>
        </w:rPr>
        <w:t xml:space="preserve"> dl-PRS-ResourceSlotOffset, dl-PRS-ResourceSymbolOffset.</w:t>
      </w:r>
    </w:p>
    <w:p>
      <w:pPr>
        <w:numPr>
          <w:ilvl w:val="0"/>
          <w:numId w:val="5"/>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iCs/>
          <w:sz w:val="20"/>
          <w:szCs w:val="20"/>
        </w:rPr>
        <w:t xml:space="preserve">ARP locations of linked PRS resource sets or resources should be the same </w:t>
      </w:r>
      <w:r>
        <w:rPr>
          <w:rFonts w:hint="eastAsia"/>
        </w:rPr>
        <w:t xml:space="preserve"> </w:t>
      </w:r>
    </w:p>
    <w:p>
      <w:pPr>
        <w:snapToGrid w:val="0"/>
        <w:spacing w:after="0" w:line="240" w:lineRule="auto"/>
        <w:jc w:val="both"/>
        <w:rPr>
          <w:rFonts w:ascii="Times New Roman" w:hAnsi="Times New Roman"/>
          <w:i/>
          <w:sz w:val="20"/>
          <w:szCs w:val="20"/>
        </w:rPr>
      </w:pPr>
      <w:r>
        <w:rPr>
          <w:rFonts w:hint="eastAsia" w:ascii="Times New Roman" w:hAnsi="Times New Roman"/>
          <w:b/>
          <w:bCs/>
          <w:i/>
          <w:sz w:val="20"/>
          <w:szCs w:val="20"/>
        </w:rPr>
        <w:t xml:space="preserve">Proposal 1: </w:t>
      </w:r>
      <w:r>
        <w:rPr>
          <w:rFonts w:hint="eastAsia" w:ascii="Times New Roman" w:hAnsi="Times New Roman"/>
          <w:i/>
          <w:sz w:val="20"/>
          <w:szCs w:val="20"/>
        </w:rPr>
        <w:t>Support new LPP signaling to link two or three PFLs for PRS bandwidth aggregation. For linked PFL#i and PFL#j, at least the following conditions should be ensured.</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CP and SCS should be the same</w:t>
      </w:r>
    </w:p>
    <w:p>
      <w:pPr>
        <w:numPr>
          <w:ilvl w:val="0"/>
          <w:numId w:val="5"/>
        </w:numPr>
        <w:snapToGrid w:val="0"/>
        <w:spacing w:after="0" w:line="240" w:lineRule="auto"/>
        <w:jc w:val="both"/>
        <w:rPr>
          <w:rFonts w:ascii="Times New Roman" w:hAnsi="Times New Roman"/>
          <w:i/>
          <w:sz w:val="20"/>
          <w:szCs w:val="20"/>
        </w:rPr>
      </w:pPr>
      <w:r>
        <w:rPr>
          <w:rFonts w:ascii="Times New Roman" w:hAnsi="Times New Roman"/>
          <w:i/>
          <w:sz w:val="20"/>
          <w:szCs w:val="20"/>
        </w:rPr>
        <w:t xml:space="preserve">PRS Comb size should be the same </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number of PRS resource sets should be the same</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m</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set in PFL#i is linked with the m</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set in PFL#j by default.</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number of PRS resources in the linked PRS resource sets should be the same</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n</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in m</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set in PFL#i is linked with the n</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in m</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set in PFL#j by default.</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linked PRS resources should be in the same symbol(s).</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ARP locations of linked PRS resource sets or resources should be the same </w:t>
      </w: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Measurement report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Cs/>
          <w:sz w:val="20"/>
          <w:szCs w:val="20"/>
        </w:rPr>
        <w:t xml:space="preserve">In Rel-16/17, for each measurement element of the current measurement report for </w:t>
      </w:r>
      <w:r>
        <w:rPr>
          <w:rFonts w:hint="eastAsia" w:ascii="Times New Roman" w:hAnsi="Times New Roman"/>
          <w:sz w:val="20"/>
          <w:szCs w:val="20"/>
        </w:rPr>
        <w:t>DL-TDOA and</w:t>
      </w:r>
      <w:r>
        <w:rPr>
          <w:rFonts w:ascii="Times New Roman" w:hAnsi="Times New Roman"/>
          <w:sz w:val="20"/>
          <w:szCs w:val="20"/>
          <w:lang w:eastAsia="ko-KR"/>
        </w:rPr>
        <w:t xml:space="preserve"> </w:t>
      </w:r>
      <w:r>
        <w:rPr>
          <w:rFonts w:hint="eastAsia" w:ascii="Times New Roman" w:hAnsi="Times New Roman"/>
          <w:sz w:val="20"/>
          <w:szCs w:val="20"/>
        </w:rPr>
        <w:t>multi-RTT measurement at UE side, i.e. the first measurement element or an additional measurement element, UE needs to report TRP ID, RSTD or UE Rx-Tx time difference, PRS resource ID, PRS resource set ID, etc. The measurement should be based on a single PFL as UE can only process PRS in multiple PFLs in TDMed manner.</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Rel-18, when UE is configured with BW aggregated PRS via LPP assistance data, the following two options should be determined</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Option 1: UE always measures the RSTD or UE Rx-Tx time difference based on the aggregated PFL</w:t>
      </w:r>
      <w:r>
        <w:rPr>
          <w:rFonts w:ascii="Times New Roman" w:hAnsi="Times New Roman"/>
          <w:sz w:val="20"/>
          <w:szCs w:val="20"/>
        </w:rPr>
        <w:t>s</w:t>
      </w:r>
      <w:r>
        <w:rPr>
          <w:rFonts w:hint="eastAsia" w:ascii="Times New Roman" w:hAnsi="Times New Roman"/>
          <w:sz w:val="20"/>
          <w:szCs w:val="20"/>
        </w:rPr>
        <w:t xml:space="preserve">. </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such case, the existing measurement element report signaling can be completely reused. The report PRS resource set ID implies that UE measures PRS based on the report PRS resource set and the linked PRS resource set(s) from other PFLs of the same TRP</w:t>
      </w:r>
      <w:r>
        <w:rPr>
          <w:rFonts w:ascii="Times New Roman" w:hAnsi="Times New Roman"/>
          <w:sz w:val="20"/>
          <w:szCs w:val="20"/>
        </w:rPr>
        <w:t>, where t</w:t>
      </w:r>
      <w:r>
        <w:rPr>
          <w:rFonts w:hint="eastAsia" w:ascii="Times New Roman" w:hAnsi="Times New Roman"/>
          <w:sz w:val="20"/>
          <w:szCs w:val="20"/>
        </w:rPr>
        <w:t xml:space="preserve">he link association of aggregated PRS resources is configured by PRS assistance date. </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Option 2: UE has flexibility to report RSTD or UE Rx-Tx time difference based on either single PFL or aggregated PFL</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such case, the existing measurement element is not enough. UE needs to newly inform LMF whether a measurement element is based on a single PFL or aggregated PFLs. If three aggregated PFLs are configured, UE needs to further inform LMF whether/which one or two or three PFLs are used for measurement and report. </w:t>
      </w:r>
    </w:p>
    <w:p>
      <w:pPr>
        <w:snapToGrid w:val="0"/>
        <w:spacing w:before="180" w:beforeLines="50" w:after="180" w:afterLines="50" w:line="240" w:lineRule="auto"/>
        <w:jc w:val="both"/>
      </w:pPr>
      <w:r>
        <w:drawing>
          <wp:inline distT="0" distB="0" distL="114300" distR="114300">
            <wp:extent cx="5941060" cy="2252345"/>
            <wp:effectExtent l="0" t="0" r="2540" b="1460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a:stretch>
                      <a:fillRect/>
                    </a:stretch>
                  </pic:blipFill>
                  <pic:spPr>
                    <a:xfrm>
                      <a:off x="0" y="0"/>
                      <a:ext cx="5941060" cy="225234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2.</w:t>
      </w:r>
      <w:r>
        <w:rPr>
          <w:rFonts w:hint="eastAsia" w:ascii="Times New Roman" w:hAnsi="Times New Roman"/>
          <w:sz w:val="20"/>
          <w:szCs w:val="20"/>
        </w:rPr>
        <w:t>2</w:t>
      </w:r>
      <w:r>
        <w:rPr>
          <w:rFonts w:ascii="Times New Roman" w:hAnsi="Times New Roman"/>
          <w:sz w:val="20"/>
          <w:szCs w:val="20"/>
        </w:rPr>
        <w:t xml:space="preserve">-1 </w:t>
      </w:r>
      <w:r>
        <w:rPr>
          <w:rFonts w:hint="eastAsia" w:ascii="Times New Roman" w:hAnsi="Times New Roman"/>
          <w:sz w:val="20"/>
          <w:szCs w:val="20"/>
        </w:rPr>
        <w:t>One-to-one mapping for PRS resources between two PFLs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shown in Figure 2.2-1, option 1 is simple without new signaling needed, but it is less flexible. For example, UE needs to </w:t>
      </w:r>
      <w:r>
        <w:rPr>
          <w:rFonts w:ascii="Times New Roman" w:hAnsi="Times New Roman"/>
          <w:sz w:val="20"/>
          <w:szCs w:val="20"/>
        </w:rPr>
        <w:t xml:space="preserve">switch </w:t>
      </w:r>
      <w:r>
        <w:rPr>
          <w:rFonts w:hint="eastAsia" w:ascii="Times New Roman" w:hAnsi="Times New Roman"/>
          <w:sz w:val="20"/>
          <w:szCs w:val="20"/>
        </w:rPr>
        <w:t>into power saving mode for more importan</w:t>
      </w:r>
      <w:r>
        <w:rPr>
          <w:rFonts w:ascii="Times New Roman" w:hAnsi="Times New Roman"/>
          <w:sz w:val="20"/>
          <w:szCs w:val="20"/>
        </w:rPr>
        <w:t>t</w:t>
      </w:r>
      <w:r>
        <w:rPr>
          <w:rFonts w:hint="eastAsia" w:ascii="Times New Roman" w:hAnsi="Times New Roman"/>
          <w:sz w:val="20"/>
          <w:szCs w:val="20"/>
        </w:rPr>
        <w:t xml:space="preserve"> purpose. As long as single PFL measurement can satisfy the location requirement sometimes, option 2 provides more freedom for UE. </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For DL-TDOA and multi-RTT</w:t>
      </w:r>
      <w:r>
        <w:rPr>
          <w:rFonts w:ascii="Times New Roman" w:hAnsi="Times New Roman"/>
          <w:i/>
          <w:iCs/>
          <w:sz w:val="20"/>
          <w:szCs w:val="20"/>
        </w:rPr>
        <w:t xml:space="preserve"> measurement report</w:t>
      </w:r>
      <w:r>
        <w:rPr>
          <w:rFonts w:hint="eastAsia" w:ascii="Times New Roman" w:hAnsi="Times New Roman"/>
          <w:i/>
          <w:iCs/>
          <w:sz w:val="20"/>
          <w:szCs w:val="20"/>
        </w:rPr>
        <w:t>, when UE is configured with BW aggregated PRS via LPP assistance data, select one of the following two options:</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Option 1: UE always measures the RSTD or UE Rx-Tx time difference based on the aggregated PFL. </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2: UE has flexibility to report RSTD or UE Rx-Tx time difference based on either single PFL or aggregated PFL</w:t>
      </w:r>
      <w:r>
        <w:rPr>
          <w:rFonts w:ascii="Times New Roman" w:hAnsi="Times New Roman"/>
          <w:i/>
          <w:sz w:val="20"/>
          <w:szCs w:val="20"/>
        </w:rPr>
        <w:t>s</w:t>
      </w: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PPW enhancement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Rel-17, PPW (PRS processing window) was introduced to support PRS processing within active BWP in the condition that PRS numerology is aligned with active BWP and PRS bandwidth is within the active BWP. UE can measure PRS within the activated or configured PPW. Specifically, for each BWP, at most four PPWs can be configured by RRC signaling, and MAC</w:t>
      </w:r>
      <w:r>
        <w:rPr>
          <w:rFonts w:ascii="Times New Roman" w:hAnsi="Times New Roman"/>
          <w:sz w:val="20"/>
          <w:szCs w:val="20"/>
        </w:rPr>
        <w:t xml:space="preserve"> </w:t>
      </w:r>
      <w:r>
        <w:rPr>
          <w:rFonts w:hint="eastAsia" w:ascii="Times New Roman" w:hAnsi="Times New Roman"/>
          <w:sz w:val="20"/>
          <w:szCs w:val="20"/>
        </w:rPr>
        <w:t xml:space="preserve">CE can be used to active one for a BWP. Totally, at most four PPWs can be activated corresponding </w:t>
      </w:r>
      <w:r>
        <w:rPr>
          <w:rFonts w:ascii="Times New Roman" w:hAnsi="Times New Roman"/>
          <w:sz w:val="20"/>
          <w:szCs w:val="20"/>
        </w:rPr>
        <w:t xml:space="preserve">to </w:t>
      </w:r>
      <w:r>
        <w:rPr>
          <w:rFonts w:hint="eastAsia" w:ascii="Times New Roman" w:hAnsi="Times New Roman"/>
          <w:sz w:val="20"/>
          <w:szCs w:val="20"/>
        </w:rPr>
        <w:t>four PFLs. Because Rel-17 UE cannot process PRS from multiple PFLs simultaneously, the multiple activated PPWs should be TDMed.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Rel-17 UE, as shown in the following </w:t>
      </w:r>
      <w:r>
        <w:rPr>
          <w:rFonts w:ascii="Times New Roman" w:hAnsi="Times New Roman"/>
          <w:sz w:val="20"/>
          <w:szCs w:val="20"/>
        </w:rPr>
        <w:t>F</w:t>
      </w:r>
      <w:r>
        <w:rPr>
          <w:rFonts w:hint="eastAsia" w:ascii="Times New Roman" w:hAnsi="Times New Roman"/>
          <w:sz w:val="20"/>
          <w:szCs w:val="20"/>
        </w:rPr>
        <w:t>igure 2.3-1, single MAC</w:t>
      </w:r>
      <w:r>
        <w:rPr>
          <w:rFonts w:ascii="Times New Roman" w:hAnsi="Times New Roman"/>
          <w:sz w:val="20"/>
          <w:szCs w:val="20"/>
        </w:rPr>
        <w:t xml:space="preserve"> </w:t>
      </w:r>
      <w:r>
        <w:rPr>
          <w:rFonts w:hint="eastAsia" w:ascii="Times New Roman" w:hAnsi="Times New Roman"/>
          <w:sz w:val="20"/>
          <w:szCs w:val="20"/>
        </w:rPr>
        <w:t xml:space="preserve">CE can be used to activate two TDMed PPWs, where the UE only measure PRS in PFL1 within PPW1 and measures PRS in PFL2 within PPW2. In other words, the UE does not measure PRS in PFL2 within PPW1, and not measures PRS in PFL1 within PPW2 as well.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Figure 2.3-2 illustrates the existing Rel-17 MAC</w:t>
      </w:r>
      <w:r>
        <w:rPr>
          <w:rFonts w:ascii="Times New Roman" w:hAnsi="Times New Roman"/>
          <w:sz w:val="20"/>
          <w:szCs w:val="20"/>
        </w:rPr>
        <w:t xml:space="preserve"> </w:t>
      </w:r>
      <w:r>
        <w:rPr>
          <w:rFonts w:hint="eastAsia" w:ascii="Times New Roman" w:hAnsi="Times New Roman"/>
          <w:sz w:val="20"/>
          <w:szCs w:val="20"/>
        </w:rPr>
        <w:t xml:space="preserve">CE structure. </w:t>
      </w:r>
    </w:p>
    <w:p>
      <w:pPr>
        <w:snapToGrid w:val="0"/>
        <w:spacing w:before="180" w:beforeLines="50" w:after="180" w:afterLines="50" w:line="240" w:lineRule="auto"/>
        <w:jc w:val="center"/>
      </w:pPr>
      <w:r>
        <w:drawing>
          <wp:inline distT="0" distB="0" distL="114300" distR="114300">
            <wp:extent cx="3673475" cy="2050415"/>
            <wp:effectExtent l="0" t="0" r="3175" b="698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1"/>
                    <a:stretch>
                      <a:fillRect/>
                    </a:stretch>
                  </pic:blipFill>
                  <pic:spPr>
                    <a:xfrm>
                      <a:off x="0" y="0"/>
                      <a:ext cx="3673475" cy="205041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2.3-1 MACCE activates TDMed PPWs In Rel-17</w:t>
      </w:r>
    </w:p>
    <w:p>
      <w:pPr>
        <w:snapToGrid w:val="0"/>
        <w:spacing w:before="180" w:beforeLines="50" w:after="180" w:afterLines="50" w:line="240" w:lineRule="auto"/>
        <w:jc w:val="center"/>
      </w:pPr>
      <w:r>
        <w:object>
          <v:shape id="_x0000_i1026" o:spt="75" type="#_x0000_t75" style="height:111pt;width:232.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2.3-2 Rel-17 MACCE structure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Rel-18, when UE is configured with BW aggregated PRS via LPP assistance data, single PPW </w:t>
      </w:r>
      <w:r>
        <w:rPr>
          <w:rFonts w:ascii="Times New Roman" w:hAnsi="Times New Roman"/>
          <w:sz w:val="20"/>
          <w:szCs w:val="20"/>
        </w:rPr>
        <w:t>can</w:t>
      </w:r>
      <w:r>
        <w:rPr>
          <w:rFonts w:hint="eastAsia" w:ascii="Times New Roman" w:hAnsi="Times New Roman"/>
          <w:sz w:val="20"/>
          <w:szCs w:val="20"/>
        </w:rPr>
        <w:t xml:space="preserve"> be shared for the PRS in the aggregated PFLs</w:t>
      </w:r>
      <w:r>
        <w:rPr>
          <w:rFonts w:ascii="Times New Roman" w:hAnsi="Times New Roman"/>
          <w:sz w:val="20"/>
          <w:szCs w:val="20"/>
        </w:rPr>
        <w:t xml:space="preserve"> to make PRS aggregation feasible and reduce MAC CE overhead</w:t>
      </w:r>
      <w:r>
        <w:rPr>
          <w:rFonts w:hint="eastAsia" w:ascii="Times New Roman" w:hAnsi="Times New Roman"/>
          <w:sz w:val="20"/>
          <w:szCs w:val="20"/>
        </w:rPr>
        <w:t xml:space="preserve">. That is, PPW1 or PPW2 in Figure 2.3-2 can be shared for PRS reception in both PFL1 and PFL2. Then, UE can measure PRS in the aggregated PFLs simultaneously as shown in Figure 2.3-3. </w:t>
      </w:r>
    </w:p>
    <w:p>
      <w:pPr>
        <w:snapToGrid w:val="0"/>
        <w:spacing w:before="180" w:beforeLines="50" w:after="180" w:afterLines="50" w:line="240" w:lineRule="auto"/>
        <w:jc w:val="center"/>
      </w:pPr>
      <w:r>
        <w:drawing>
          <wp:inline distT="0" distB="0" distL="114300" distR="114300">
            <wp:extent cx="1833245" cy="1840230"/>
            <wp:effectExtent l="0" t="0" r="14605" b="762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4"/>
                    <a:stretch>
                      <a:fillRect/>
                    </a:stretch>
                  </pic:blipFill>
                  <pic:spPr>
                    <a:xfrm>
                      <a:off x="0" y="0"/>
                      <a:ext cx="1833245" cy="184023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2.3-3 Single shared PPW for two PFLs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3: </w:t>
      </w:r>
      <w:r>
        <w:rPr>
          <w:rFonts w:hint="eastAsia" w:ascii="Times New Roman" w:hAnsi="Times New Roman"/>
          <w:i/>
          <w:iCs/>
          <w:sz w:val="20"/>
          <w:szCs w:val="20"/>
        </w:rPr>
        <w:t>When UE is configured with BW aggregated PRS via LPP assistance data, single PPW can be shared for the aggregated PFLs.</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Furthermore, the following issues should be discussed when PFLi and PFLj are linked via PRS configuration in assistance data. </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Question 1: whether the activated PPW should be always shared. In other words, it should be discussed if it is allowed that MAC</w:t>
      </w:r>
      <w:r>
        <w:rPr>
          <w:rFonts w:ascii="Times New Roman" w:hAnsi="Times New Roman"/>
          <w:sz w:val="20"/>
          <w:szCs w:val="20"/>
        </w:rPr>
        <w:t xml:space="preserve"> </w:t>
      </w:r>
      <w:r>
        <w:rPr>
          <w:rFonts w:hint="eastAsia" w:ascii="Times New Roman" w:hAnsi="Times New Roman"/>
          <w:sz w:val="20"/>
          <w:szCs w:val="20"/>
        </w:rPr>
        <w:t>CE can activate PPW(s) for single PFL measurement, i.e. Rel-17 behavior</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From our view, it is beneficial for gNB to control PPW activation and select either Rel-18 PRS aggregation measurement or Rel-17 single PFL measurement, e.g. for power saving purpose, gNB can control UE sticking to Rel-17 UE behavior with single PFL PRS measurement, and for higher positioning accuracy purpose, gNB can control UE measuring PRS in the aggregated PFLs. </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Question 2: whether UE should always measure PRS based on the aggregated PFLs in the case the shared PPW is activated. In other words, it should be discussed if the UE can be flexible to select PRS BW aggregation measurement or single PFL measurement.</w:t>
      </w:r>
    </w:p>
    <w:p>
      <w:pPr>
        <w:numPr>
          <w:ilvl w:val="1"/>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If UE has more flexibility to select the real measurement scheme, the UE can control more depending on the real demand, e.g. for power saving or for higher location accuracy</w:t>
      </w:r>
      <w:r>
        <w:rPr>
          <w:rFonts w:hint="eastAsia" w:ascii="Times New Roman" w:hAnsi="Times New Roman"/>
          <w:sz w:val="20"/>
          <w:szCs w:val="20"/>
        </w:rPr>
        <w:tab/>
      </w:r>
    </w:p>
    <w:p>
      <w:pPr>
        <w:snapToGrid w:val="0"/>
        <w:spacing w:after="0" w:line="240" w:lineRule="auto"/>
        <w:jc w:val="both"/>
        <w:rPr>
          <w:rFonts w:ascii="Times New Roman" w:hAnsi="Times New Roman"/>
          <w:i/>
          <w:iCs/>
          <w:sz w:val="20"/>
          <w:szCs w:val="20"/>
        </w:rPr>
      </w:pPr>
      <w:r>
        <w:rPr>
          <w:rFonts w:hint="eastAsia" w:ascii="Times New Roman" w:hAnsi="Times New Roman"/>
          <w:b/>
          <w:bCs/>
          <w:iCs/>
          <w:sz w:val="20"/>
          <w:szCs w:val="20"/>
        </w:rPr>
        <w:t>Proposal 4:</w:t>
      </w:r>
      <w:r>
        <w:rPr>
          <w:rFonts w:hint="eastAsia" w:ascii="Times New Roman" w:hAnsi="Times New Roman"/>
          <w:iCs/>
          <w:sz w:val="20"/>
          <w:szCs w:val="20"/>
        </w:rPr>
        <w:t xml:space="preserve"> </w:t>
      </w:r>
      <w:r>
        <w:rPr>
          <w:rFonts w:hint="eastAsia" w:ascii="Times New Roman" w:hAnsi="Times New Roman"/>
          <w:i/>
          <w:iCs/>
          <w:sz w:val="20"/>
          <w:szCs w:val="20"/>
        </w:rPr>
        <w:t>When UE is configured with BW aggregated PRS via LPP assistance data and PPW(s) is configured by gNB, the following options should be determined</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1: It is only allowed that a shared PPW is configured/ activated for PRS BW aggregation measurement</w:t>
      </w:r>
    </w:p>
    <w:p>
      <w:pPr>
        <w:numPr>
          <w:ilvl w:val="0"/>
          <w:numId w:val="5"/>
        </w:numPr>
        <w:snapToGrid w:val="0"/>
        <w:spacing w:after="0" w:line="240" w:lineRule="auto"/>
        <w:jc w:val="both"/>
        <w:rPr>
          <w:rFonts w:ascii="Times New Roman" w:hAnsi="Times New Roman"/>
          <w:iCs/>
          <w:sz w:val="20"/>
          <w:szCs w:val="20"/>
        </w:rPr>
      </w:pPr>
      <w:r>
        <w:rPr>
          <w:rFonts w:hint="eastAsia" w:ascii="Times New Roman" w:hAnsi="Times New Roman"/>
          <w:i/>
          <w:sz w:val="20"/>
          <w:szCs w:val="20"/>
        </w:rPr>
        <w:t xml:space="preserve">Option 2: Either a shared PPW for PRS BW aggregation measurement or non-shared PPW(s) for single PFL measurement can be configured/activated </w:t>
      </w:r>
    </w:p>
    <w:p>
      <w:pPr>
        <w:snapToGrid w:val="0"/>
        <w:spacing w:after="0" w:line="240" w:lineRule="auto"/>
        <w:ind w:left="420"/>
        <w:jc w:val="both"/>
        <w:rPr>
          <w:rFonts w:ascii="Times New Roman" w:hAnsi="Times New Roman"/>
          <w:iCs/>
          <w:sz w:val="20"/>
          <w:szCs w:val="20"/>
        </w:rPr>
      </w:pPr>
    </w:p>
    <w:p>
      <w:pPr>
        <w:snapToGrid w:val="0"/>
        <w:spacing w:after="0" w:line="240" w:lineRule="auto"/>
        <w:jc w:val="both"/>
        <w:rPr>
          <w:rFonts w:ascii="Times New Roman" w:hAnsi="Times New Roman"/>
          <w:i/>
          <w:iCs/>
          <w:sz w:val="20"/>
          <w:szCs w:val="20"/>
        </w:rPr>
      </w:pPr>
      <w:r>
        <w:rPr>
          <w:rFonts w:hint="eastAsia" w:ascii="Times New Roman" w:hAnsi="Times New Roman"/>
          <w:b/>
          <w:bCs/>
          <w:iCs/>
          <w:sz w:val="20"/>
          <w:szCs w:val="20"/>
        </w:rPr>
        <w:t xml:space="preserve">Proposal 5: </w:t>
      </w:r>
      <w:r>
        <w:rPr>
          <w:rFonts w:hint="eastAsia" w:ascii="Times New Roman" w:hAnsi="Times New Roman"/>
          <w:i/>
          <w:iCs/>
          <w:sz w:val="20"/>
          <w:szCs w:val="20"/>
        </w:rPr>
        <w:t>When UE is configured with BW aggregated PRS via LPP assistance data and a shared PPW is activated, the following options should be determined</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1: UE always measures the RSTD or UE Rx-Tx time difference based on the aggregated PFL in the shared PPW</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2: UE has flexibility to measure RSTD or UE Rx-Tx time difference based on either single PFL or aggregated PFL in the shared PPW</w:t>
      </w:r>
    </w:p>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SRS BW aggregation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shown in the agreed WID, SRS BW aggregation should be specified for UEs </w:t>
      </w:r>
      <w:r>
        <w:rPr>
          <w:rFonts w:ascii="Times New Roman" w:hAnsi="Times New Roman"/>
          <w:sz w:val="20"/>
          <w:szCs w:val="20"/>
          <w:lang w:eastAsia="ko-KR"/>
        </w:rPr>
        <w:t xml:space="preserve">in </w:t>
      </w:r>
      <w:r>
        <w:rPr>
          <w:rFonts w:hint="eastAsia" w:ascii="Times New Roman" w:hAnsi="Times New Roman"/>
          <w:sz w:val="20"/>
          <w:szCs w:val="20"/>
        </w:rPr>
        <w:t xml:space="preserve">RRC </w:t>
      </w:r>
      <w:r>
        <w:rPr>
          <w:rFonts w:ascii="Times New Roman" w:hAnsi="Times New Roman"/>
          <w:sz w:val="20"/>
          <w:szCs w:val="20"/>
          <w:lang w:eastAsia="ko-KR"/>
        </w:rPr>
        <w:t>connected mode, and in</w:t>
      </w:r>
      <w:r>
        <w:rPr>
          <w:rFonts w:hint="eastAsia" w:ascii="Times New Roman" w:hAnsi="Times New Roman"/>
          <w:sz w:val="20"/>
          <w:szCs w:val="20"/>
        </w:rPr>
        <w:t xml:space="preserve"> RRC</w:t>
      </w:r>
      <w:r>
        <w:rPr>
          <w:rFonts w:ascii="Times New Roman" w:hAnsi="Times New Roman"/>
          <w:sz w:val="20"/>
          <w:szCs w:val="20"/>
          <w:lang w:eastAsia="ko-KR"/>
        </w:rPr>
        <w:t xml:space="preserve"> inactive mode</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Rel-16/17, all types SRS for positioning including aperiodic, semi-persistent and periodic SRS are supported for UEs in RRC connected mode. In Rel-17, periodic and semi-persistent SRS are supported for UEs in RRC inactive mode. </w:t>
      </w:r>
      <w:r>
        <w:rPr>
          <w:rFonts w:ascii="Times New Roman" w:hAnsi="Times New Roman"/>
          <w:sz w:val="20"/>
          <w:szCs w:val="20"/>
        </w:rPr>
        <w:t xml:space="preserve">In addition, in the current specification of 38.101-1 [4], UL intra-band contiguous CA is applicable only for NUL. The details can be found in Appendix.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Rel-18, we suggest to stick to Rel-17</w:t>
      </w:r>
      <w:r>
        <w:rPr>
          <w:rFonts w:ascii="Times New Roman" w:hAnsi="Times New Roman"/>
          <w:sz w:val="20"/>
          <w:szCs w:val="20"/>
        </w:rPr>
        <w:t xml:space="preserve"> positioning and CA principle</w:t>
      </w:r>
      <w:r>
        <w:rPr>
          <w:rFonts w:hint="eastAsia" w:ascii="Times New Roman" w:hAnsi="Times New Roman"/>
          <w:sz w:val="20"/>
          <w:szCs w:val="20"/>
        </w:rPr>
        <w:t>, i.e. the following proposal</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6: </w:t>
      </w:r>
      <w:r>
        <w:rPr>
          <w:rFonts w:hint="eastAsia" w:ascii="Times New Roman" w:hAnsi="Times New Roman"/>
          <w:i/>
          <w:iCs/>
          <w:sz w:val="20"/>
          <w:szCs w:val="20"/>
        </w:rPr>
        <w:t>For SRS aggregation</w:t>
      </w:r>
      <w:r>
        <w:rPr>
          <w:rFonts w:ascii="Times New Roman" w:hAnsi="Times New Roman"/>
          <w:i/>
          <w:iCs/>
          <w:sz w:val="20"/>
          <w:szCs w:val="20"/>
        </w:rPr>
        <w:t xml:space="preserve"> from two or three contiguous NUL carriers</w:t>
      </w:r>
      <w:r>
        <w:rPr>
          <w:rFonts w:hint="eastAsia" w:ascii="Times New Roman" w:hAnsi="Times New Roman"/>
          <w:i/>
          <w:iCs/>
          <w:sz w:val="20"/>
          <w:szCs w:val="20"/>
        </w:rPr>
        <w:t>, support all types of aperiodic, semi-persistent and periodic SRS for positioning for UE in RRC connected mode, and support semi-persistent and periodic SRS for positioning for UE in RRC inactive mode.</w:t>
      </w:r>
    </w:p>
    <w:p>
      <w:pPr>
        <w:snapToGrid w:val="0"/>
        <w:spacing w:before="180" w:beforeLines="50" w:after="180" w:afterLines="50" w:line="240" w:lineRule="auto"/>
        <w:jc w:val="both"/>
        <w:rPr>
          <w:rFonts w:ascii="Times New Roman" w:hAnsi="Times New Roman"/>
          <w:i/>
          <w:iCs/>
          <w:sz w:val="20"/>
          <w:szCs w:val="20"/>
        </w:rPr>
      </w:pP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SRS configuration</w:t>
      </w:r>
    </w:p>
    <w:p>
      <w:pPr>
        <w:pStyle w:val="4"/>
        <w:numPr>
          <w:ilvl w:val="2"/>
          <w:numId w:val="3"/>
        </w:numPr>
        <w:rPr>
          <w:rFonts w:ascii="Times New Roman" w:hAnsi="Times New Roman"/>
          <w:sz w:val="21"/>
          <w:szCs w:val="21"/>
          <w:lang w:val="en-US"/>
        </w:rPr>
      </w:pPr>
      <w:r>
        <w:rPr>
          <w:rFonts w:ascii="Times New Roman" w:hAnsi="Times New Roman"/>
          <w:sz w:val="21"/>
          <w:szCs w:val="21"/>
          <w:lang w:val="en-US"/>
        </w:rPr>
        <w:t xml:space="preserve">RRC connected mode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UEs in RRC connected mode, SRS is configured per BWP based on the existing Rel-15/16/17 specifications. In Rel-18, for UE supporting SRS BW aggregation, gNB can configure the association between the linked carriers for SRS for positioning by RRC signaling. This is very like the feature of per CC group update TCI state or spatial relation which was introduced in Rel-16 MIMO as in the following box.</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3"/>
                <w:numId w:val="0"/>
              </w:numPr>
              <w:snapToGrid w:val="0"/>
              <w:spacing w:before="0" w:after="180" w:afterLines="50"/>
              <w:rPr>
                <w:rFonts w:eastAsia="宋体"/>
                <w:sz w:val="20"/>
                <w:szCs w:val="20"/>
                <w:lang w:val="en-US"/>
              </w:rPr>
            </w:pPr>
            <w:bookmarkStart w:id="8" w:name="_Toc115558041"/>
            <w:bookmarkStart w:id="9" w:name="_Toc46490437"/>
            <w:bookmarkStart w:id="10" w:name="_Toc52796594"/>
            <w:bookmarkStart w:id="11" w:name="_Toc52752132"/>
            <w:r>
              <w:rPr>
                <w:rFonts w:eastAsia="宋体"/>
                <w:sz w:val="20"/>
                <w:szCs w:val="20"/>
                <w:lang w:val="en-US"/>
              </w:rPr>
              <w:t xml:space="preserve">38.321 </w:t>
            </w:r>
          </w:p>
          <w:p>
            <w:pPr>
              <w:pStyle w:val="5"/>
              <w:numPr>
                <w:ilvl w:val="3"/>
                <w:numId w:val="0"/>
              </w:numPr>
              <w:snapToGrid w:val="0"/>
              <w:spacing w:before="0"/>
              <w:rPr>
                <w:rFonts w:eastAsia="Malgun Gothic"/>
                <w:sz w:val="20"/>
                <w:szCs w:val="20"/>
                <w:lang w:eastAsia="ko-KR"/>
              </w:rPr>
            </w:pPr>
            <w:r>
              <w:rPr>
                <w:rFonts w:eastAsia="Malgun Gothic"/>
                <w:sz w:val="20"/>
                <w:szCs w:val="20"/>
                <w:lang w:eastAsia="ko-KR"/>
              </w:rPr>
              <w:t>6.1.3.29</w:t>
            </w:r>
            <w:r>
              <w:rPr>
                <w:rFonts w:eastAsia="Malgun Gothic"/>
                <w:sz w:val="20"/>
                <w:szCs w:val="20"/>
                <w:lang w:eastAsia="ko-KR"/>
              </w:rPr>
              <w:tab/>
            </w:r>
            <w:r>
              <w:rPr>
                <w:rFonts w:eastAsia="Malgun Gothic"/>
                <w:sz w:val="20"/>
                <w:szCs w:val="20"/>
                <w:lang w:eastAsia="ko-KR"/>
              </w:rPr>
              <w:t>Serving Cell Set based SRS Spatial Relation Indication MAC CE</w:t>
            </w:r>
            <w:bookmarkEnd w:id="8"/>
            <w:bookmarkEnd w:id="9"/>
            <w:bookmarkEnd w:id="10"/>
            <w:bookmarkEnd w:id="11"/>
          </w:p>
          <w:p>
            <w:pPr>
              <w:snapToGrid w:val="0"/>
              <w:spacing w:after="0" w:line="240" w:lineRule="auto"/>
              <w:rPr>
                <w:rFonts w:ascii="Times New Roman" w:hAnsi="Times New Roman" w:eastAsia="Malgun Gothic"/>
                <w:sz w:val="20"/>
                <w:szCs w:val="20"/>
                <w:lang w:eastAsia="ko-KR"/>
              </w:rPr>
            </w:pPr>
            <w:r>
              <w:rPr>
                <w:rFonts w:ascii="Times New Roman" w:hAnsi="Times New Roman" w:eastAsia="Malgun Gothic"/>
                <w:sz w:val="20"/>
                <w:szCs w:val="20"/>
                <w:lang w:eastAsia="ko-KR"/>
              </w:rPr>
              <w:t>The Serving Cell Set based SRS Spatial Relation indication MAC CE is identified by a MAC subheader with eLCID as specified in Table 6.2.1-1b.</w:t>
            </w:r>
            <w:r>
              <w:rPr>
                <w:rFonts w:ascii="Times New Roman" w:hAnsi="Times New Roman"/>
                <w:sz w:val="20"/>
                <w:szCs w:val="20"/>
              </w:rPr>
              <w:t xml:space="preserve"> </w:t>
            </w:r>
            <w:r>
              <w:rPr>
                <w:rFonts w:ascii="Times New Roman" w:hAnsi="Times New Roman" w:eastAsia="Malgun Gothic"/>
                <w:sz w:val="20"/>
                <w:szCs w:val="20"/>
                <w:lang w:eastAsia="ko-KR"/>
              </w:rPr>
              <w:t>It has a variable size and consists of the following fields:</w:t>
            </w:r>
          </w:p>
          <w:p>
            <w:pPr>
              <w:pStyle w:val="83"/>
              <w:snapToGrid w:val="0"/>
              <w:spacing w:after="0" w:line="240" w:lineRule="auto"/>
              <w:rPr>
                <w:rFonts w:ascii="Times New Roman" w:hAnsi="Times New Roman"/>
                <w:iCs/>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SRS Resource's Cell ID: This field indicates the identity of the Serving Cell, which contains the indicated SP/AP SRS Resource. If the C field is set to 0, this field also indicates the identity of the Serving Cell which contains all resources indicated by the Resource IDi fields. The length of the field is 5 bits. </w:t>
            </w:r>
            <w:r>
              <w:rPr>
                <w:rFonts w:ascii="Times New Roman" w:hAnsi="Times New Roman"/>
                <w:b/>
                <w:bCs/>
                <w:sz w:val="20"/>
                <w:szCs w:val="20"/>
              </w:rPr>
              <w:t xml:space="preserve">The indicated Serving Cell is configured as part of a </w:t>
            </w:r>
            <w:r>
              <w:rPr>
                <w:rFonts w:ascii="Times New Roman" w:hAnsi="Times New Roman" w:eastAsia="Malgun Gothic"/>
                <w:b/>
                <w:bCs/>
                <w:i/>
                <w:iCs/>
                <w:sz w:val="20"/>
                <w:szCs w:val="20"/>
                <w:lang w:eastAsia="ko-KR"/>
              </w:rPr>
              <w:t>simultaneousSpatial-UpdatedList1</w:t>
            </w:r>
            <w:r>
              <w:rPr>
                <w:rFonts w:ascii="Times New Roman" w:hAnsi="Times New Roman" w:eastAsia="Malgun Gothic"/>
                <w:b/>
                <w:bCs/>
                <w:sz w:val="20"/>
                <w:szCs w:val="20"/>
                <w:lang w:eastAsia="ko-KR"/>
              </w:rPr>
              <w:t xml:space="preserve"> or </w:t>
            </w:r>
            <w:r>
              <w:rPr>
                <w:rFonts w:ascii="Times New Roman" w:hAnsi="Times New Roman"/>
                <w:b/>
                <w:bCs/>
                <w:i/>
                <w:iCs/>
                <w:sz w:val="20"/>
                <w:szCs w:val="20"/>
              </w:rPr>
              <w:t>simultaneousSpatial-UpdatedList2</w:t>
            </w:r>
            <w:r>
              <w:rPr>
                <w:rFonts w:ascii="Times New Roman" w:hAnsi="Times New Roman"/>
                <w:b/>
                <w:bCs/>
                <w:sz w:val="20"/>
                <w:szCs w:val="20"/>
              </w:rPr>
              <w:t xml:space="preserve"> as specified in </w:t>
            </w:r>
            <w:r>
              <w:rPr>
                <w:rFonts w:ascii="Times New Roman" w:hAnsi="Times New Roman"/>
                <w:b/>
                <w:bCs/>
                <w:sz w:val="20"/>
                <w:szCs w:val="20"/>
                <w:lang w:eastAsia="ko-KR"/>
              </w:rPr>
              <w:t>TS 38.331</w:t>
            </w:r>
            <w:r>
              <w:rPr>
                <w:rFonts w:ascii="Times New Roman" w:hAnsi="Times New Roman"/>
                <w:sz w:val="20"/>
                <w:szCs w:val="20"/>
                <w:lang w:eastAsia="ko-KR"/>
              </w:rPr>
              <w:t xml:space="preserve"> [5]</w:t>
            </w:r>
            <w:r>
              <w:rPr>
                <w:rFonts w:ascii="Times New Roman" w:hAnsi="Times New Roman"/>
                <w:sz w:val="20"/>
                <w:szCs w:val="20"/>
              </w:rPr>
              <w:t xml:space="preserve">, and </w:t>
            </w:r>
            <w:r>
              <w:rPr>
                <w:rFonts w:ascii="Times New Roman" w:hAnsi="Times New Roman"/>
                <w:b/>
                <w:bCs/>
                <w:sz w:val="20"/>
                <w:szCs w:val="20"/>
              </w:rPr>
              <w:t xml:space="preserve">this MAC CE applies to all the Serving Cells configured in the set </w:t>
            </w:r>
            <w:r>
              <w:rPr>
                <w:rFonts w:ascii="Times New Roman" w:hAnsi="Times New Roman" w:eastAsia="Malgun Gothic"/>
                <w:b/>
                <w:bCs/>
                <w:i/>
                <w:iCs/>
                <w:sz w:val="20"/>
                <w:szCs w:val="20"/>
                <w:lang w:eastAsia="ko-KR"/>
              </w:rPr>
              <w:t>simultaneousSpatial-UpdatedList1</w:t>
            </w:r>
            <w:r>
              <w:rPr>
                <w:rFonts w:ascii="Times New Roman" w:hAnsi="Times New Roman" w:eastAsia="Malgun Gothic"/>
                <w:b/>
                <w:bCs/>
                <w:sz w:val="20"/>
                <w:szCs w:val="20"/>
                <w:lang w:eastAsia="ko-KR"/>
              </w:rPr>
              <w:t xml:space="preserve"> or </w:t>
            </w:r>
            <w:r>
              <w:rPr>
                <w:rFonts w:ascii="Times New Roman" w:hAnsi="Times New Roman"/>
                <w:b/>
                <w:bCs/>
                <w:i/>
                <w:iCs/>
                <w:sz w:val="20"/>
                <w:szCs w:val="20"/>
              </w:rPr>
              <w:t>simultaneousSpatial-UpdatedList2</w:t>
            </w:r>
            <w:r>
              <w:rPr>
                <w:rFonts w:ascii="Times New Roman" w:hAnsi="Times New Roman"/>
                <w:b/>
                <w:bCs/>
                <w:iCs/>
                <w:sz w:val="20"/>
                <w:szCs w:val="20"/>
              </w:rPr>
              <w:t>, respectively</w:t>
            </w:r>
            <w:r>
              <w:rPr>
                <w:rFonts w:ascii="Times New Roman" w:hAnsi="Times New Roman"/>
                <w:iCs/>
                <w:sz w:val="20"/>
                <w:szCs w:val="20"/>
              </w:rPr>
              <w:t>;</w:t>
            </w:r>
          </w:p>
          <w:p>
            <w:pPr>
              <w:pStyle w:val="83"/>
              <w:snapToGrid w:val="0"/>
              <w:spacing w:after="0" w:line="240" w:lineRule="auto"/>
              <w:rPr>
                <w:rFonts w:ascii="Times New Roman" w:hAnsi="Times New Roman"/>
                <w:iCs/>
                <w:sz w:val="20"/>
                <w:szCs w:val="20"/>
              </w:rPr>
            </w:pP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example, one or more carrier lists for SRS BW aggregation can be configured by RRC signaling, where the linked SRS in different carriers should be transmitted in the same slot and the same symbol with the same numerology for SRS BW aggregation measurement.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Specifically, </w:t>
      </w:r>
      <w:r>
        <w:rPr>
          <w:rFonts w:ascii="Times New Roman" w:hAnsi="Times New Roman"/>
          <w:sz w:val="20"/>
          <w:szCs w:val="20"/>
        </w:rPr>
        <w:t>among</w:t>
      </w:r>
      <w:r>
        <w:rPr>
          <w:rFonts w:hint="eastAsia" w:ascii="Times New Roman" w:hAnsi="Times New Roman"/>
          <w:sz w:val="20"/>
          <w:szCs w:val="20"/>
        </w:rPr>
        <w:t xml:space="preserve"> the linked </w:t>
      </w:r>
      <w:r>
        <w:rPr>
          <w:rFonts w:ascii="Times New Roman" w:hAnsi="Times New Roman"/>
          <w:sz w:val="20"/>
          <w:szCs w:val="20"/>
        </w:rPr>
        <w:t xml:space="preserve">NUL </w:t>
      </w:r>
      <w:r>
        <w:rPr>
          <w:rFonts w:hint="eastAsia" w:ascii="Times New Roman" w:hAnsi="Times New Roman"/>
          <w:sz w:val="20"/>
          <w:szCs w:val="20"/>
        </w:rPr>
        <w:t>carriers for positioning SRS BW aggregation measurement, at least the following conditions should be satisfied</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SCS and CP for the active BWPs in the linked carriers should be the same</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The number of SRS resource sets for positioning</w:t>
      </w:r>
      <w:r>
        <w:rPr>
          <w:rFonts w:ascii="Times New Roman" w:hAnsi="Times New Roman"/>
          <w:iCs/>
          <w:sz w:val="20"/>
          <w:szCs w:val="20"/>
        </w:rPr>
        <w:t xml:space="preserve"> should be same</w:t>
      </w:r>
    </w:p>
    <w:p>
      <w:pPr>
        <w:numPr>
          <w:ilvl w:val="1"/>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The SRS resource sets in the linked carriers can be one-to-one linked by default, i.e. the SRS resource set m in carrier i is linked with SRS resource set m in carrier </w:t>
      </w:r>
      <w:r>
        <w:rPr>
          <w:rFonts w:ascii="Times New Roman" w:hAnsi="Times New Roman"/>
          <w:iCs/>
          <w:sz w:val="20"/>
          <w:szCs w:val="20"/>
        </w:rPr>
        <w:t>j</w:t>
      </w:r>
      <w:r>
        <w:rPr>
          <w:rFonts w:hint="eastAsia" w:ascii="Times New Roman" w:hAnsi="Times New Roman"/>
          <w:iCs/>
          <w:sz w:val="20"/>
          <w:szCs w:val="20"/>
        </w:rPr>
        <w:t>.</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The number of SRS resources for positioning  </w:t>
      </w:r>
    </w:p>
    <w:p>
      <w:pPr>
        <w:numPr>
          <w:ilvl w:val="1"/>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The SRS resources in the linked SRS resource sets in the linked carriers can be one-to-one linked by default, i.e. the n</w:t>
      </w:r>
      <w:r>
        <w:rPr>
          <w:rFonts w:hint="eastAsia" w:ascii="Times New Roman" w:hAnsi="Times New Roman"/>
          <w:iCs/>
          <w:sz w:val="20"/>
          <w:szCs w:val="20"/>
          <w:vertAlign w:val="superscript"/>
        </w:rPr>
        <w:t>th</w:t>
      </w:r>
      <w:r>
        <w:rPr>
          <w:rFonts w:hint="eastAsia" w:ascii="Times New Roman" w:hAnsi="Times New Roman"/>
          <w:iCs/>
          <w:sz w:val="20"/>
          <w:szCs w:val="20"/>
        </w:rPr>
        <w:t xml:space="preserve"> SRS resource in SRS resource set m in carrier i is linked with the n</w:t>
      </w:r>
      <w:r>
        <w:rPr>
          <w:rFonts w:hint="eastAsia" w:ascii="Times New Roman" w:hAnsi="Times New Roman"/>
          <w:iCs/>
          <w:sz w:val="20"/>
          <w:szCs w:val="20"/>
          <w:vertAlign w:val="superscript"/>
        </w:rPr>
        <w:t>th</w:t>
      </w:r>
      <w:r>
        <w:rPr>
          <w:rFonts w:hint="eastAsia" w:ascii="Times New Roman" w:hAnsi="Times New Roman"/>
          <w:iCs/>
          <w:sz w:val="20"/>
          <w:szCs w:val="20"/>
        </w:rPr>
        <w:t xml:space="preserve"> SRS resource in the SRS resource set m in carrier </w:t>
      </w:r>
      <w:r>
        <w:rPr>
          <w:rFonts w:ascii="Times New Roman" w:hAnsi="Times New Roman"/>
          <w:iCs/>
          <w:sz w:val="20"/>
          <w:szCs w:val="20"/>
        </w:rPr>
        <w:t>j</w:t>
      </w:r>
      <w:r>
        <w:rPr>
          <w:rFonts w:hint="eastAsia" w:ascii="Times New Roman" w:hAnsi="Times New Roman"/>
          <w:iCs/>
          <w:sz w:val="20"/>
          <w:szCs w:val="20"/>
        </w:rPr>
        <w:t>.</w:t>
      </w:r>
    </w:p>
    <w:p>
      <w:pPr>
        <w:numPr>
          <w:ilvl w:val="0"/>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The linked SRS resources should be transmitted in the same symbol(s)</w:t>
      </w:r>
    </w:p>
    <w:p>
      <w:pPr>
        <w:numPr>
          <w:ilvl w:val="1"/>
          <w:numId w:val="5"/>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This condition should be ensured by gNB configuration with suitable parameters including </w:t>
      </w:r>
      <w:r>
        <w:rPr>
          <w:rFonts w:hint="eastAsia" w:ascii="Times New Roman" w:hAnsi="Times New Roman"/>
          <w:i/>
          <w:sz w:val="20"/>
          <w:szCs w:val="20"/>
        </w:rPr>
        <w:t>startPosition</w:t>
      </w:r>
      <w:r>
        <w:rPr>
          <w:rFonts w:hint="eastAsia" w:ascii="Times New Roman" w:hAnsi="Times New Roman"/>
          <w:iCs/>
          <w:sz w:val="20"/>
          <w:szCs w:val="20"/>
        </w:rPr>
        <w:t xml:space="preserve">, </w:t>
      </w:r>
      <w:r>
        <w:rPr>
          <w:rFonts w:hint="eastAsia" w:ascii="Times New Roman" w:hAnsi="Times New Roman"/>
          <w:i/>
          <w:sz w:val="20"/>
          <w:szCs w:val="20"/>
        </w:rPr>
        <w:t>nrofSymbols</w:t>
      </w:r>
      <w:r>
        <w:rPr>
          <w:rFonts w:hint="eastAsia" w:ascii="Times New Roman" w:hAnsi="Times New Roman"/>
          <w:iCs/>
          <w:sz w:val="20"/>
          <w:szCs w:val="20"/>
        </w:rPr>
        <w:t xml:space="preserve">, </w:t>
      </w:r>
      <w:r>
        <w:rPr>
          <w:rFonts w:hint="eastAsia" w:ascii="Times New Roman" w:hAnsi="Times New Roman"/>
          <w:i/>
          <w:sz w:val="20"/>
          <w:szCs w:val="20"/>
        </w:rPr>
        <w:t>periodicityAndOffset</w:t>
      </w:r>
      <w:r>
        <w:rPr>
          <w:rFonts w:hint="eastAsia" w:ascii="Times New Roman" w:hAnsi="Times New Roman"/>
          <w:iCs/>
          <w:sz w:val="20"/>
          <w:szCs w:val="20"/>
        </w:rPr>
        <w:t xml:space="preserve">, and </w:t>
      </w:r>
      <w:r>
        <w:rPr>
          <w:rFonts w:hint="eastAsia" w:ascii="Times New Roman" w:hAnsi="Times New Roman"/>
          <w:i/>
          <w:sz w:val="20"/>
          <w:szCs w:val="20"/>
        </w:rPr>
        <w:t>slotOffset</w:t>
      </w:r>
    </w:p>
    <w:p>
      <w:pPr>
        <w:snapToGrid w:val="0"/>
        <w:spacing w:after="0" w:line="240" w:lineRule="auto"/>
        <w:jc w:val="both"/>
        <w:rPr>
          <w:rFonts w:ascii="Times New Roman" w:hAnsi="Times New Roman"/>
          <w:b/>
          <w:bCs/>
          <w:i/>
          <w:sz w:val="20"/>
          <w:szCs w:val="20"/>
        </w:rPr>
      </w:pPr>
    </w:p>
    <w:p>
      <w:pPr>
        <w:snapToGrid w:val="0"/>
        <w:spacing w:after="0" w:line="240" w:lineRule="auto"/>
        <w:jc w:val="both"/>
        <w:rPr>
          <w:rFonts w:ascii="Times New Roman" w:hAnsi="Times New Roman"/>
          <w:i/>
          <w:sz w:val="20"/>
          <w:szCs w:val="20"/>
        </w:rPr>
      </w:pPr>
      <w:r>
        <w:rPr>
          <w:rFonts w:hint="eastAsia" w:ascii="Times New Roman" w:hAnsi="Times New Roman"/>
          <w:b/>
          <w:bCs/>
          <w:i/>
          <w:sz w:val="20"/>
          <w:szCs w:val="20"/>
        </w:rPr>
        <w:t xml:space="preserve">Proposal 7: </w:t>
      </w:r>
      <w:r>
        <w:rPr>
          <w:rFonts w:hint="eastAsia" w:ascii="Times New Roman" w:hAnsi="Times New Roman"/>
          <w:i/>
          <w:sz w:val="20"/>
          <w:szCs w:val="20"/>
        </w:rPr>
        <w:t>To enable positioning SRS aggregation</w:t>
      </w:r>
      <w:r>
        <w:rPr>
          <w:rFonts w:ascii="Times New Roman" w:hAnsi="Times New Roman"/>
          <w:i/>
          <w:sz w:val="20"/>
          <w:szCs w:val="20"/>
        </w:rPr>
        <w:t xml:space="preserve"> on two or three </w:t>
      </w:r>
      <w:r>
        <w:rPr>
          <w:rFonts w:ascii="Times New Roman" w:hAnsi="Times New Roman"/>
          <w:i/>
          <w:iCs/>
          <w:sz w:val="20"/>
          <w:szCs w:val="20"/>
        </w:rPr>
        <w:t>contiguous NUL carriers</w:t>
      </w:r>
      <w:r>
        <w:rPr>
          <w:rFonts w:hint="eastAsia" w:ascii="Times New Roman" w:hAnsi="Times New Roman"/>
          <w:i/>
          <w:sz w:val="20"/>
          <w:szCs w:val="20"/>
        </w:rPr>
        <w:t xml:space="preserve"> for UE in RRC connected mode, support </w:t>
      </w:r>
      <w:r>
        <w:rPr>
          <w:rFonts w:ascii="Times New Roman" w:hAnsi="Times New Roman"/>
          <w:i/>
          <w:sz w:val="20"/>
          <w:szCs w:val="20"/>
        </w:rPr>
        <w:t xml:space="preserve">new </w:t>
      </w:r>
      <w:r>
        <w:rPr>
          <w:rFonts w:hint="eastAsia" w:ascii="Times New Roman" w:hAnsi="Times New Roman"/>
          <w:i/>
          <w:sz w:val="20"/>
          <w:szCs w:val="20"/>
        </w:rPr>
        <w:t>RRC signaling to link</w:t>
      </w:r>
      <w:r>
        <w:rPr>
          <w:rFonts w:ascii="Times New Roman" w:hAnsi="Times New Roman"/>
          <w:i/>
          <w:sz w:val="20"/>
          <w:szCs w:val="20"/>
        </w:rPr>
        <w:t xml:space="preserve"> the</w:t>
      </w:r>
      <w:r>
        <w:rPr>
          <w:rFonts w:hint="eastAsia" w:ascii="Times New Roman" w:hAnsi="Times New Roman"/>
          <w:i/>
          <w:sz w:val="20"/>
          <w:szCs w:val="20"/>
        </w:rPr>
        <w:t xml:space="preserve"> two or three </w:t>
      </w:r>
      <w:r>
        <w:rPr>
          <w:rFonts w:ascii="Times New Roman" w:hAnsi="Times New Roman"/>
          <w:i/>
          <w:sz w:val="20"/>
          <w:szCs w:val="20"/>
        </w:rPr>
        <w:t xml:space="preserve">NUL </w:t>
      </w:r>
      <w:r>
        <w:rPr>
          <w:rFonts w:hint="eastAsia" w:ascii="Times New Roman" w:hAnsi="Times New Roman"/>
          <w:i/>
          <w:sz w:val="20"/>
          <w:szCs w:val="20"/>
        </w:rPr>
        <w:t>carriers. And the following conditions should be ensured for the linked carrier i and j.</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SCS and CP for the active BWPs in the linked carriers should be same</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The number of SRS resource sets for positioning in the linked carriers should be same </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m</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set in carrier#i is linked with the m</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set in carrier#j by default.</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The number of SRS resources for positioning in the linked carriers should be same </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n</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in m</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set in carrier#i is linked with the n</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in m</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set in carrier#j by default.</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linked SRS resources should be transmitted in the same symbol(s)</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This condition should be ensured by gNB configuration with suitable parameters including startPosition, nrofSymbols, periodicityAndOffset, and slotOffset </w:t>
      </w:r>
    </w:p>
    <w:p>
      <w:pPr>
        <w:snapToGrid w:val="0"/>
        <w:spacing w:before="180" w:beforeLines="50" w:after="180" w:afterLines="50" w:line="240" w:lineRule="auto"/>
        <w:jc w:val="both"/>
        <w:rPr>
          <w:rFonts w:ascii="Times New Roman" w:hAnsi="Times New Roman"/>
          <w:i/>
          <w:sz w:val="20"/>
          <w:szCs w:val="20"/>
        </w:rPr>
      </w:pP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For periodic SRS for positioning, the linkage between carriers configured by RRC is sufficient. After RRC configuration, SRS in different linked carriers are transmitted periodically in the same symbols. Then, TRPs can do SRS measurement and report based on the aggregated SRS transmission.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For semi-persistent SRS, MAC CE is used to activate/deactivate a positioning SRS resource set in a carrier in Rel-16/17 as shown in the following figure, where spatial relation can be also updated for each SRS resource in the resource set. The serving cell ID, i.e. carrier ID and the SRS resource set ID is carried in the first and second octets respectively. For Rel-18 SRS aggregation, the SRS resource sets with the same set ID in the linked carriers can be triggered by single MAC CE. </w:t>
      </w:r>
    </w:p>
    <w:p>
      <w:pPr>
        <w:pStyle w:val="62"/>
        <w:snapToGrid w:val="0"/>
        <w:spacing w:before="180" w:beforeLines="50" w:afterLines="50"/>
      </w:pP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1940560</wp:posOffset>
                </wp:positionH>
                <wp:positionV relativeFrom="paragraph">
                  <wp:posOffset>194310</wp:posOffset>
                </wp:positionV>
                <wp:extent cx="1754505" cy="495935"/>
                <wp:effectExtent l="6350" t="6350" r="10795" b="12065"/>
                <wp:wrapNone/>
                <wp:docPr id="4" name="椭圆 4"/>
                <wp:cNvGraphicFramePr/>
                <a:graphic xmlns:a="http://schemas.openxmlformats.org/drawingml/2006/main">
                  <a:graphicData uri="http://schemas.microsoft.com/office/word/2010/wordprocessingShape">
                    <wps:wsp>
                      <wps:cNvSpPr/>
                      <wps:spPr>
                        <a:xfrm>
                          <a:off x="2901950" y="2559050"/>
                          <a:ext cx="1754505" cy="495935"/>
                        </a:xfrm>
                        <a:prstGeom prst="ellipse">
                          <a:avLst/>
                        </a:prstGeom>
                        <a:noFill/>
                        <a:ln w="12700" cmpd="sng">
                          <a:solidFill>
                            <a:schemeClr val="accent2">
                              <a:lumMod val="7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52.8pt;margin-top:15.3pt;height:39.05pt;width:138.15pt;z-index:251659264;v-text-anchor:middle;mso-width-relative:page;mso-height-relative:page;" filled="f" stroked="t" coordsize="21600,21600" o:gfxdata="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mBBKT1QAAAAoBAAAPAAAAAAAAAAEAIAAAACIA&#10;AABkcnMvZG93bnJldi54bWxQSwECFAAUAAAACACHTuJATOaZqn4CAADnBAAADgAAAAAAAAABACAA&#10;AAAkAQAAZHJzL2Uyb0RvYy54bWxQSwUGAAAAAAYABgBZAQAAFAYAAAAA&#10;">
                <v:fill on="f" focussize="0,0"/>
                <v:stroke weight="1pt" color="#953735 [2405]" joinstyle="round" dashstyle="3 1"/>
                <v:imagedata o:title=""/>
                <o:lock v:ext="edit" aspectratio="f"/>
              </v:shape>
            </w:pict>
          </mc:Fallback>
        </mc:AlternateContent>
      </w:r>
      <w:r>
        <w:pict>
          <v:shape id="_x0000_i1027" o:spt="75" type="#_x0000_t75" style="height:278.25pt;width:228.75pt;" filled="f" o:preferrelative="t" stroked="f" coordsize="21600,21600">
            <v:path/>
            <v:fill on="f" focussize="0,0"/>
            <v:stroke on="f" joinstyle="miter"/>
            <v:imagedata r:id="rId15" o:title=""/>
            <o:lock v:ext="edit" aspectratio="t"/>
            <w10:wrap type="none"/>
            <w10:anchorlock/>
          </v:shape>
        </w:pict>
      </w:r>
    </w:p>
    <w:p>
      <w:pPr>
        <w:pStyle w:val="106"/>
        <w:snapToGrid w:val="0"/>
        <w:spacing w:before="180" w:beforeLines="50" w:after="180" w:afterLines="50"/>
        <w:rPr>
          <w:rFonts w:ascii="Times New Roman" w:hAnsi="Times New Roman"/>
          <w:b w:val="0"/>
          <w:bCs/>
          <w:iCs/>
          <w:lang w:val="en-US" w:eastAsia="ko-KR"/>
        </w:rPr>
      </w:pPr>
      <w:r>
        <w:rPr>
          <w:rFonts w:hint="eastAsia" w:ascii="Times New Roman" w:hAnsi="Times New Roman"/>
          <w:b w:val="0"/>
          <w:bCs/>
          <w:iCs/>
          <w:lang w:val="en-US" w:eastAsia="ko-KR"/>
        </w:rPr>
        <w:t xml:space="preserve">Figure </w:t>
      </w:r>
      <w:r>
        <w:rPr>
          <w:rFonts w:hint="eastAsia" w:ascii="Times New Roman" w:hAnsi="Times New Roman"/>
          <w:b w:val="0"/>
          <w:bCs/>
          <w:iCs/>
          <w:lang w:val="en-US" w:eastAsia="zh-CN"/>
        </w:rPr>
        <w:t>3.1-1</w:t>
      </w:r>
      <w:r>
        <w:rPr>
          <w:rFonts w:hint="eastAsia" w:ascii="Times New Roman" w:hAnsi="Times New Roman"/>
          <w:b w:val="0"/>
          <w:bCs/>
          <w:iCs/>
          <w:lang w:val="en-US" w:eastAsia="ko-KR"/>
        </w:rPr>
        <w:t xml:space="preserve">: </w:t>
      </w:r>
      <w:r>
        <w:rPr>
          <w:rFonts w:hint="eastAsia" w:ascii="Times New Roman" w:hAnsi="Times New Roman"/>
          <w:b w:val="0"/>
          <w:lang w:val="en-US" w:eastAsia="zh-CN"/>
        </w:rPr>
        <w:t>Rel</w:t>
      </w:r>
      <w:r>
        <w:rPr>
          <w:rFonts w:hint="eastAsia" w:ascii="Times New Roman" w:hAnsi="Times New Roman"/>
          <w:b w:val="0"/>
          <w:bCs/>
          <w:iCs/>
          <w:lang w:val="en-US" w:eastAsia="zh-CN"/>
        </w:rPr>
        <w:t>-16</w:t>
      </w:r>
      <w:r>
        <w:rPr>
          <w:rFonts w:ascii="Times New Roman" w:hAnsi="Times New Roman"/>
          <w:b w:val="0"/>
          <w:bCs/>
          <w:iCs/>
          <w:lang w:val="en-US" w:eastAsia="zh-CN"/>
        </w:rPr>
        <w:t>/17</w:t>
      </w:r>
      <w:r>
        <w:rPr>
          <w:rFonts w:hint="eastAsia" w:ascii="Times New Roman" w:hAnsi="Times New Roman"/>
          <w:b w:val="0"/>
          <w:bCs/>
          <w:iCs/>
          <w:lang w:val="en-US" w:eastAsia="zh-CN"/>
        </w:rPr>
        <w:t xml:space="preserve"> </w:t>
      </w:r>
      <w:r>
        <w:rPr>
          <w:rFonts w:hint="eastAsia" w:ascii="Times New Roman" w:hAnsi="Times New Roman"/>
          <w:b w:val="0"/>
          <w:bCs/>
          <w:iCs/>
          <w:lang w:val="en-US" w:eastAsia="ko-KR"/>
        </w:rPr>
        <w:t>SP Positioning SRS Activation/Deactivation MAC CE</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However, it should be discussed whether SRS resource sets in the RRC linked carriers should be always activated/deactivate together. Two options can be considered</w:t>
      </w:r>
    </w:p>
    <w:p>
      <w:pPr>
        <w:numPr>
          <w:ilvl w:val="0"/>
          <w:numId w:val="7"/>
        </w:num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Option 1: When a carrier i is linked with a carrier j by RRC signaling for positioning SRS BW aggregation, a MAC CE activating/deactivating a</w:t>
      </w:r>
      <w:r>
        <w:rPr>
          <w:rFonts w:ascii="Times New Roman" w:hAnsi="Times New Roman"/>
          <w:iCs/>
          <w:sz w:val="20"/>
          <w:szCs w:val="20"/>
        </w:rPr>
        <w:t>n</w:t>
      </w:r>
      <w:r>
        <w:rPr>
          <w:rFonts w:hint="eastAsia" w:ascii="Times New Roman" w:hAnsi="Times New Roman"/>
          <w:iCs/>
          <w:sz w:val="20"/>
          <w:szCs w:val="20"/>
        </w:rPr>
        <w:t xml:space="preserve"> SRS resource set with ID m in carrier i should</w:t>
      </w:r>
      <w:r>
        <w:rPr>
          <w:rFonts w:ascii="Times New Roman" w:hAnsi="Times New Roman"/>
          <w:iCs/>
          <w:sz w:val="20"/>
          <w:szCs w:val="20"/>
        </w:rPr>
        <w:t xml:space="preserve"> also</w:t>
      </w:r>
      <w:r>
        <w:rPr>
          <w:rFonts w:hint="eastAsia" w:ascii="Times New Roman" w:hAnsi="Times New Roman"/>
          <w:iCs/>
          <w:sz w:val="20"/>
          <w:szCs w:val="20"/>
        </w:rPr>
        <w:t xml:space="preserve"> always activate/deactivate the SRS resource set with ID m in the carrier j. </w:t>
      </w:r>
    </w:p>
    <w:p>
      <w:pPr>
        <w:numPr>
          <w:ilvl w:val="0"/>
          <w:numId w:val="7"/>
        </w:numPr>
        <w:snapToGrid w:val="0"/>
        <w:spacing w:before="180" w:beforeLines="50" w:after="180" w:afterLines="50" w:line="240" w:lineRule="auto"/>
        <w:jc w:val="both"/>
        <w:rPr>
          <w:rFonts w:ascii="Times New Roman" w:hAnsi="Times New Roman"/>
          <w:bCs/>
          <w:iCs/>
          <w:sz w:val="20"/>
          <w:szCs w:val="20"/>
          <w:lang w:eastAsia="ko-KR"/>
        </w:rPr>
      </w:pPr>
      <w:r>
        <w:rPr>
          <w:rFonts w:hint="eastAsia" w:ascii="Times New Roman" w:hAnsi="Times New Roman"/>
          <w:iCs/>
          <w:sz w:val="20"/>
          <w:szCs w:val="20"/>
        </w:rPr>
        <w:t>Option 2: When a carrier i is linked with a carrier j by RRC signaling for positioning SRS BW aggregation, a MAC CE activating/deactivating a</w:t>
      </w:r>
      <w:r>
        <w:rPr>
          <w:rFonts w:ascii="Times New Roman" w:hAnsi="Times New Roman"/>
          <w:iCs/>
          <w:sz w:val="20"/>
          <w:szCs w:val="20"/>
        </w:rPr>
        <w:t>n</w:t>
      </w:r>
      <w:r>
        <w:rPr>
          <w:rFonts w:hint="eastAsia" w:ascii="Times New Roman" w:hAnsi="Times New Roman"/>
          <w:iCs/>
          <w:sz w:val="20"/>
          <w:szCs w:val="20"/>
        </w:rPr>
        <w:t xml:space="preserve"> SRS resource set with ID m in carrier i can either activate/deactivate the SRS resource set with ID m in carrier i (Rel-16/17 behavior) or activate/deactivate the SRS resource sets with ID m in both carrier</w:t>
      </w:r>
      <w:r>
        <w:rPr>
          <w:rFonts w:ascii="Times New Roman" w:hAnsi="Times New Roman"/>
          <w:iCs/>
          <w:sz w:val="20"/>
          <w:szCs w:val="20"/>
        </w:rPr>
        <w:t xml:space="preserve"> i</w:t>
      </w:r>
      <w:r>
        <w:rPr>
          <w:rFonts w:hint="eastAsia" w:ascii="Times New Roman" w:hAnsi="Times New Roman"/>
          <w:iCs/>
          <w:sz w:val="20"/>
          <w:szCs w:val="20"/>
        </w:rPr>
        <w:t xml:space="preserve"> and carrier j </w:t>
      </w:r>
      <w:r>
        <w:rPr>
          <w:rFonts w:ascii="Times New Roman" w:hAnsi="Times New Roman"/>
          <w:iCs/>
          <w:sz w:val="20"/>
          <w:szCs w:val="20"/>
        </w:rPr>
        <w:t>(Rel-18 aggregation).</w:t>
      </w:r>
    </w:p>
    <w:p>
      <w:pPr>
        <w:pStyle w:val="106"/>
        <w:snapToGrid w:val="0"/>
        <w:spacing w:before="180" w:beforeLines="50" w:after="180" w:afterLines="50"/>
        <w:jc w:val="both"/>
      </w:pPr>
      <w:r>
        <w:rPr>
          <w:lang w:val="en-US" w:eastAsia="zh-CN"/>
        </w:rPr>
        <w:drawing>
          <wp:inline distT="0" distB="0" distL="114300" distR="114300">
            <wp:extent cx="5939790" cy="1110615"/>
            <wp:effectExtent l="0" t="0" r="3810" b="1333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6"/>
                    <a:srcRect b="57957"/>
                    <a:stretch>
                      <a:fillRect/>
                    </a:stretch>
                  </pic:blipFill>
                  <pic:spPr>
                    <a:xfrm>
                      <a:off x="0" y="0"/>
                      <a:ext cx="5939790" cy="1110615"/>
                    </a:xfrm>
                    <a:prstGeom prst="rect">
                      <a:avLst/>
                    </a:prstGeom>
                    <a:noFill/>
                    <a:ln>
                      <a:noFill/>
                    </a:ln>
                  </pic:spPr>
                </pic:pic>
              </a:graphicData>
            </a:graphic>
          </wp:inline>
        </w:drawing>
      </w:r>
    </w:p>
    <w:p>
      <w:pPr>
        <w:pStyle w:val="106"/>
        <w:snapToGrid w:val="0"/>
        <w:spacing w:before="180" w:beforeLines="50" w:after="180" w:afterLines="50"/>
        <w:rPr>
          <w:rFonts w:ascii="Times New Roman" w:hAnsi="Times New Roman"/>
          <w:b w:val="0"/>
          <w:bCs/>
          <w:iCs/>
          <w:lang w:val="en-US" w:eastAsia="zh-CN"/>
        </w:rPr>
      </w:pPr>
      <w:r>
        <w:rPr>
          <w:rFonts w:hint="eastAsia" w:ascii="Times New Roman" w:hAnsi="Times New Roman"/>
          <w:b w:val="0"/>
          <w:bCs/>
          <w:iCs/>
          <w:lang w:val="en-US" w:eastAsia="ko-KR"/>
        </w:rPr>
        <w:t xml:space="preserve">Figure </w:t>
      </w:r>
      <w:r>
        <w:rPr>
          <w:rFonts w:hint="eastAsia" w:ascii="Times New Roman" w:hAnsi="Times New Roman"/>
          <w:b w:val="0"/>
          <w:bCs/>
          <w:iCs/>
          <w:lang w:val="en-US" w:eastAsia="zh-CN"/>
        </w:rPr>
        <w:t>3.1-2</w:t>
      </w:r>
      <w:r>
        <w:rPr>
          <w:rFonts w:hint="eastAsia" w:ascii="Times New Roman" w:hAnsi="Times New Roman"/>
          <w:b w:val="0"/>
          <w:bCs/>
          <w:iCs/>
          <w:lang w:val="en-US" w:eastAsia="ko-KR"/>
        </w:rPr>
        <w:t xml:space="preserve">: </w:t>
      </w:r>
      <w:r>
        <w:rPr>
          <w:rFonts w:hint="eastAsia" w:ascii="Times New Roman" w:hAnsi="Times New Roman"/>
          <w:b w:val="0"/>
          <w:bCs/>
          <w:iCs/>
          <w:lang w:val="en-US" w:eastAsia="zh-CN"/>
        </w:rPr>
        <w:t xml:space="preserve">Rel-18 </w:t>
      </w:r>
      <w:r>
        <w:rPr>
          <w:rFonts w:hint="eastAsia" w:ascii="Times New Roman" w:hAnsi="Times New Roman"/>
          <w:b w:val="0"/>
          <w:bCs/>
          <w:iCs/>
          <w:lang w:val="en-US" w:eastAsia="ko-KR"/>
        </w:rPr>
        <w:t>SP Positioning SRS Activation/Deactivation MAC CE</w:t>
      </w:r>
      <w:r>
        <w:rPr>
          <w:rFonts w:hint="eastAsia" w:ascii="Times New Roman" w:hAnsi="Times New Roman"/>
          <w:b w:val="0"/>
          <w:bCs/>
          <w:iCs/>
          <w:lang w:val="en-US" w:eastAsia="zh-CN"/>
        </w:rPr>
        <w:t xml:space="preserve"> for SRS BW aggregation</w:t>
      </w:r>
    </w:p>
    <w:p>
      <w:pPr>
        <w:pStyle w:val="106"/>
        <w:snapToGrid w:val="0"/>
        <w:spacing w:before="180" w:beforeLines="50" w:after="180" w:afterLines="50"/>
        <w:jc w:val="both"/>
        <w:rPr>
          <w:rFonts w:ascii="Times New Roman" w:hAnsi="Times New Roman"/>
          <w:b w:val="0"/>
          <w:bCs/>
          <w:iCs/>
          <w:lang w:val="en-US" w:eastAsia="zh-CN"/>
        </w:rPr>
      </w:pPr>
      <w:r>
        <w:rPr>
          <w:rFonts w:hint="eastAsia" w:ascii="Times New Roman" w:hAnsi="Times New Roman"/>
          <w:b w:val="0"/>
          <w:bCs/>
          <w:iCs/>
          <w:lang w:val="en-US" w:eastAsia="zh-CN"/>
        </w:rPr>
        <w:t xml:space="preserve">Option 1 does not need MAC CE enhancement but has less flexibility. In the case that the traffic load, the number of camped UEs, or the slot formats are different between linked carriers, it may not be easy to </w:t>
      </w:r>
      <w:r>
        <w:rPr>
          <w:rFonts w:ascii="Times New Roman" w:hAnsi="Times New Roman"/>
          <w:b w:val="0"/>
          <w:bCs/>
          <w:iCs/>
          <w:lang w:val="en-US" w:eastAsia="zh-CN"/>
        </w:rPr>
        <w:t xml:space="preserve">always </w:t>
      </w:r>
      <w:r>
        <w:rPr>
          <w:rFonts w:hint="eastAsia" w:ascii="Times New Roman" w:hAnsi="Times New Roman"/>
          <w:b w:val="0"/>
          <w:bCs/>
          <w:iCs/>
          <w:lang w:val="en-US" w:eastAsia="zh-CN"/>
        </w:rPr>
        <w:t xml:space="preserve">guarantee simultaneous SRS resource transmission in multiple carriers. For example, compared with carrier i, more UEs with more urgent UL traffic are camping in the carrier j, and then </w:t>
      </w:r>
      <w:r>
        <w:rPr>
          <w:rFonts w:ascii="Times New Roman" w:hAnsi="Times New Roman"/>
          <w:b w:val="0"/>
          <w:bCs/>
          <w:iCs/>
          <w:lang w:val="en-US" w:eastAsia="zh-CN"/>
        </w:rPr>
        <w:t>UL</w:t>
      </w:r>
      <w:r>
        <w:rPr>
          <w:rFonts w:hint="eastAsia" w:ascii="Times New Roman" w:hAnsi="Times New Roman"/>
          <w:b w:val="0"/>
          <w:bCs/>
          <w:iCs/>
          <w:lang w:val="en-US" w:eastAsia="zh-CN"/>
        </w:rPr>
        <w:t xml:space="preserve"> resource may be limited in carrier j. So gNB may only activate SRS transmission in carrier i rather than in both linked carriers for a UE without urgent UL traffic. </w:t>
      </w:r>
    </w:p>
    <w:p>
      <w:pPr>
        <w:pStyle w:val="106"/>
        <w:snapToGrid w:val="0"/>
        <w:spacing w:before="180" w:beforeLines="50" w:after="180" w:afterLines="50"/>
        <w:jc w:val="both"/>
        <w:rPr>
          <w:rFonts w:ascii="Times New Roman" w:hAnsi="Times New Roman"/>
          <w:i/>
          <w:lang w:val="en-US" w:eastAsia="zh-CN"/>
        </w:rPr>
      </w:pPr>
      <w:r>
        <w:rPr>
          <w:rFonts w:hint="eastAsia" w:ascii="Times New Roman" w:hAnsi="Times New Roman"/>
          <w:b w:val="0"/>
          <w:bCs/>
          <w:iCs/>
          <w:lang w:val="en-US" w:eastAsia="zh-CN"/>
        </w:rPr>
        <w:t xml:space="preserve">Compared with Option 1, Option 2 provide more dynamic selection since MAC CE can be used to further determine how many carriers </w:t>
      </w:r>
      <w:r>
        <w:rPr>
          <w:rFonts w:ascii="Times New Roman" w:hAnsi="Times New Roman"/>
          <w:b w:val="0"/>
          <w:bCs/>
          <w:iCs/>
          <w:lang w:val="en-US" w:eastAsia="zh-CN"/>
        </w:rPr>
        <w:t xml:space="preserve">for positioning </w:t>
      </w:r>
      <w:r>
        <w:rPr>
          <w:rFonts w:hint="eastAsia" w:ascii="Times New Roman" w:hAnsi="Times New Roman"/>
          <w:b w:val="0"/>
          <w:bCs/>
          <w:iCs/>
          <w:lang w:val="en-US" w:eastAsia="zh-CN"/>
        </w:rPr>
        <w:t>SRS</w:t>
      </w:r>
      <w:r>
        <w:rPr>
          <w:rFonts w:ascii="Times New Roman" w:hAnsi="Times New Roman"/>
          <w:b w:val="0"/>
          <w:bCs/>
          <w:iCs/>
          <w:lang w:val="en-US" w:eastAsia="zh-CN"/>
        </w:rPr>
        <w:t xml:space="preserve"> transmission</w:t>
      </w:r>
      <w:r>
        <w:rPr>
          <w:rFonts w:hint="eastAsia" w:ascii="Times New Roman" w:hAnsi="Times New Roman"/>
          <w:b w:val="0"/>
          <w:bCs/>
          <w:iCs/>
          <w:lang w:val="en-US" w:eastAsia="zh-CN"/>
        </w:rPr>
        <w:t xml:space="preserve"> should be activated. </w:t>
      </w:r>
    </w:p>
    <w:p>
      <w:pPr>
        <w:pStyle w:val="106"/>
        <w:snapToGrid w:val="0"/>
        <w:spacing w:after="0"/>
        <w:jc w:val="both"/>
        <w:rPr>
          <w:rFonts w:ascii="Times New Roman" w:hAnsi="Times New Roman"/>
          <w:b w:val="0"/>
          <w:bCs/>
          <w:i/>
          <w:lang w:val="en-US" w:eastAsia="zh-CN"/>
        </w:rPr>
      </w:pPr>
      <w:r>
        <w:rPr>
          <w:rFonts w:hint="eastAsia" w:ascii="Times New Roman" w:hAnsi="Times New Roman"/>
          <w:i/>
          <w:lang w:val="en-US" w:eastAsia="zh-CN"/>
        </w:rPr>
        <w:t xml:space="preserve">Proposal 8: </w:t>
      </w:r>
      <w:r>
        <w:rPr>
          <w:rFonts w:hint="eastAsia" w:ascii="Times New Roman" w:hAnsi="Times New Roman"/>
          <w:b w:val="0"/>
          <w:bCs/>
          <w:i/>
          <w:lang w:val="en-US" w:eastAsia="zh-CN"/>
        </w:rPr>
        <w:t>Support single MAC CE to activate/deactivate semi-persistent positioning SRS resource sets in the two or three linked carriers. When a carrier i is lined with a carrier j by RRC signaling, select one of the two options:</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1: a MAC CE activating/deactivating a</w:t>
      </w:r>
      <w:r>
        <w:rPr>
          <w:rFonts w:ascii="Times New Roman" w:hAnsi="Times New Roman"/>
          <w:i/>
          <w:sz w:val="20"/>
          <w:szCs w:val="20"/>
        </w:rPr>
        <w:t>n</w:t>
      </w:r>
      <w:r>
        <w:rPr>
          <w:rFonts w:hint="eastAsia" w:ascii="Times New Roman" w:hAnsi="Times New Roman"/>
          <w:i/>
          <w:sz w:val="20"/>
          <w:szCs w:val="20"/>
        </w:rPr>
        <w:t xml:space="preserve"> SRS resource set with ID m in carrier i should always activate/deactivate the SRS resource set with ID m in the carrier j. </w:t>
      </w:r>
    </w:p>
    <w:p>
      <w:pPr>
        <w:numPr>
          <w:ilvl w:val="0"/>
          <w:numId w:val="5"/>
        </w:numPr>
        <w:snapToGrid w:val="0"/>
        <w:spacing w:after="0" w:line="240" w:lineRule="auto"/>
        <w:jc w:val="both"/>
        <w:rPr>
          <w:rFonts w:ascii="Times New Roman" w:hAnsi="Times New Roman"/>
          <w:i/>
          <w:sz w:val="20"/>
          <w:szCs w:val="20"/>
          <w:lang w:eastAsia="ko-KR"/>
        </w:rPr>
      </w:pPr>
      <w:r>
        <w:rPr>
          <w:rFonts w:hint="eastAsia" w:ascii="Times New Roman" w:hAnsi="Times New Roman"/>
          <w:i/>
          <w:sz w:val="20"/>
          <w:szCs w:val="20"/>
        </w:rPr>
        <w:t>Option 2: a MAC CE activating/deactivating a</w:t>
      </w:r>
      <w:r>
        <w:rPr>
          <w:rFonts w:ascii="Times New Roman" w:hAnsi="Times New Roman"/>
          <w:i/>
          <w:sz w:val="20"/>
          <w:szCs w:val="20"/>
        </w:rPr>
        <w:t>n</w:t>
      </w:r>
      <w:r>
        <w:rPr>
          <w:rFonts w:hint="eastAsia" w:ascii="Times New Roman" w:hAnsi="Times New Roman"/>
          <w:i/>
          <w:sz w:val="20"/>
          <w:szCs w:val="20"/>
        </w:rPr>
        <w:t xml:space="preserve"> SRS resource set with ID m in carrier i can either activate/deactivate the SRS resource set with ID m in carrier i or activate/deactivate the SRS resource sets with ID m in both carrier </w:t>
      </w:r>
      <w:r>
        <w:rPr>
          <w:rFonts w:ascii="Times New Roman" w:hAnsi="Times New Roman"/>
          <w:i/>
          <w:sz w:val="20"/>
          <w:szCs w:val="20"/>
        </w:rPr>
        <w:t xml:space="preserve">i </w:t>
      </w:r>
      <w:r>
        <w:rPr>
          <w:rFonts w:hint="eastAsia" w:ascii="Times New Roman" w:hAnsi="Times New Roman"/>
          <w:i/>
          <w:sz w:val="20"/>
          <w:szCs w:val="20"/>
        </w:rPr>
        <w:t>and carrier j</w:t>
      </w:r>
    </w:p>
    <w:p>
      <w:pPr>
        <w:pStyle w:val="106"/>
        <w:snapToGrid w:val="0"/>
        <w:spacing w:before="180" w:beforeLines="50" w:after="180" w:afterLines="50"/>
        <w:jc w:val="both"/>
        <w:rPr>
          <w:rFonts w:ascii="Times New Roman" w:hAnsi="Times New Roman"/>
          <w:b w:val="0"/>
          <w:bCs/>
          <w:i/>
          <w:lang w:val="en-US" w:eastAsia="zh-CN"/>
        </w:rPr>
      </w:pPr>
    </w:p>
    <w:p>
      <w:pPr>
        <w:pStyle w:val="106"/>
        <w:snapToGrid w:val="0"/>
        <w:spacing w:before="180" w:beforeLines="50" w:after="180" w:afterLines="50"/>
        <w:jc w:val="both"/>
        <w:rPr>
          <w:rFonts w:ascii="Times New Roman" w:hAnsi="Times New Roman"/>
          <w:b w:val="0"/>
          <w:bCs/>
          <w:i/>
          <w:lang w:val="en-US" w:eastAsia="zh-CN"/>
        </w:rPr>
      </w:pPr>
      <w:r>
        <w:rPr>
          <w:rFonts w:hint="eastAsia" w:ascii="Times New Roman" w:hAnsi="Times New Roman"/>
          <w:b w:val="0"/>
          <w:bCs/>
          <w:iCs/>
          <w:lang w:val="en-US" w:eastAsia="zh-CN"/>
        </w:rPr>
        <w:t>For aperiodic SRS, similarly as semi-persistent SRS, it is natural to support single DCI triggering SRS resource sets in the linked carriers together for the sake of low DCI overhead. The mechanism can reuse the achievement in the discussion on multi-cell PUSCH/PDSCH scheduling with a single DCI in agenda 9.9 of RAN1#111 meeting. In that agenda, it has already concluded that a single DCI can trigger SRS resource sets in multiple cells. The relevant agreements are listed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eastAsia="Batang"/>
                <w:b/>
                <w:bCs/>
                <w:sz w:val="20"/>
                <w:szCs w:val="20"/>
                <w:u w:val="single"/>
              </w:rPr>
            </w:pPr>
            <w:r>
              <w:rPr>
                <w:rFonts w:ascii="Times New Roman" w:hAnsi="Times New Roman" w:eastAsia="Batang"/>
                <w:b/>
                <w:bCs/>
                <w:sz w:val="20"/>
                <w:szCs w:val="20"/>
                <w:u w:val="single"/>
                <w:lang w:bidi="ar"/>
              </w:rPr>
              <w:t>Agreement</w:t>
            </w:r>
          </w:p>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The types for below fields in DCI format 1_X are listed (R1-2212924):</w:t>
            </w:r>
          </w:p>
          <w:tbl>
            <w:tblPr>
              <w:tblStyle w:val="27"/>
              <w:tblW w:w="0" w:type="auto"/>
              <w:tblInd w:w="353" w:type="dxa"/>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Layout w:type="autofit"/>
              <w:tblCellMar>
                <w:top w:w="0" w:type="dxa"/>
                <w:left w:w="108" w:type="dxa"/>
                <w:bottom w:w="0" w:type="dxa"/>
                <w:right w:w="108" w:type="dxa"/>
              </w:tblCellMar>
            </w:tblPr>
            <w:tblGrid>
              <w:gridCol w:w="2250"/>
              <w:gridCol w:w="3870"/>
              <w:gridCol w:w="1890"/>
            </w:tblGrid>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 xml:space="preserve">Field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Type</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Details</w:t>
                  </w:r>
                  <w:r>
                    <w:rPr>
                      <w:rFonts w:ascii="Times New Roman" w:hAnsi="Times New Roman" w:eastAsia="Batang"/>
                      <w:b/>
                      <w:bCs/>
                      <w:sz w:val="20"/>
                      <w:szCs w:val="20"/>
                      <w:lang w:bidi="ar"/>
                    </w:rPr>
                    <w:br w:type="textWrapping"/>
                  </w:r>
                  <w:r>
                    <w:rPr>
                      <w:rFonts w:ascii="Times New Roman" w:hAnsi="Times New Roman" w:eastAsia="Batang"/>
                      <w:b/>
                      <w:bCs/>
                      <w:sz w:val="20"/>
                      <w:szCs w:val="20"/>
                      <w:lang w:bidi="ar"/>
                    </w:rPr>
                    <w:t>(for information only)</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HARQ process number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 xml:space="preserve">MCS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Alt 1: Type 2 (without compression)</w:t>
                  </w:r>
                </w:p>
                <w:p>
                  <w:pPr>
                    <w:snapToGrid w:val="0"/>
                    <w:spacing w:after="0" w:line="240" w:lineRule="auto"/>
                    <w:rPr>
                      <w:rFonts w:ascii="Times New Roman" w:hAnsi="Times New Roman" w:eastAsia="Batang"/>
                      <w:sz w:val="20"/>
                      <w:szCs w:val="20"/>
                    </w:rPr>
                  </w:pPr>
                </w:p>
                <w:p>
                  <w:pPr>
                    <w:snapToGrid w:val="0"/>
                    <w:spacing w:after="0" w:line="240" w:lineRule="auto"/>
                    <w:rPr>
                      <w:rFonts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BWP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Times"/>
                      <w:sz w:val="20"/>
                      <w:szCs w:val="20"/>
                      <w:lang w:bidi="ar"/>
                    </w:rPr>
                    <w:t>FDRA</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 xml:space="preserve">Type 2 </w:t>
                  </w:r>
                </w:p>
                <w:p>
                  <w:pPr>
                    <w:pStyle w:val="25"/>
                    <w:widowControl w:val="0"/>
                    <w:numPr>
                      <w:ilvl w:val="0"/>
                      <w:numId w:val="8"/>
                    </w:numPr>
                    <w:kinsoku w:val="0"/>
                    <w:overflowPunct w:val="0"/>
                    <w:autoSpaceDE w:val="0"/>
                    <w:autoSpaceDN w:val="0"/>
                    <w:adjustRightInd w:val="0"/>
                    <w:snapToGrid w:val="0"/>
                    <w:jc w:val="both"/>
                    <w:textAlignment w:val="baseline"/>
                    <w:rPr>
                      <w:rFonts w:ascii="Times New Roman" w:hAnsi="Times New Roman" w:eastAsia="Batang" w:cs="Times New Roman"/>
                      <w:sz w:val="20"/>
                      <w:szCs w:val="20"/>
                    </w:rPr>
                  </w:pPr>
                  <w:r>
                    <w:rPr>
                      <w:rFonts w:ascii="Times New Roman" w:hAnsi="Times New Roman" w:eastAsia="Batang" w:cs="Times New Roman"/>
                      <w:sz w:val="20"/>
                      <w:szCs w:val="20"/>
                      <w:lang w:bidi="ar"/>
                    </w:rPr>
                    <w:t xml:space="preserve">Further consider larger RBG granularity than existing maximum specified or configured value for RA type 0 </w:t>
                  </w:r>
                </w:p>
                <w:p>
                  <w:pPr>
                    <w:pStyle w:val="25"/>
                    <w:widowControl w:val="0"/>
                    <w:numPr>
                      <w:ilvl w:val="0"/>
                      <w:numId w:val="8"/>
                    </w:numPr>
                    <w:kinsoku w:val="0"/>
                    <w:overflowPunct w:val="0"/>
                    <w:autoSpaceDE w:val="0"/>
                    <w:autoSpaceDN w:val="0"/>
                    <w:adjustRightInd w:val="0"/>
                    <w:snapToGrid w:val="0"/>
                    <w:jc w:val="both"/>
                    <w:textAlignment w:val="baseline"/>
                    <w:rPr>
                      <w:rFonts w:ascii="Times New Roman" w:hAnsi="Times New Roman" w:eastAsia="Batang" w:cs="Times New Roman"/>
                      <w:sz w:val="20"/>
                      <w:szCs w:val="20"/>
                    </w:rPr>
                  </w:pPr>
                  <w:r>
                    <w:rPr>
                      <w:rFonts w:ascii="Times New Roman" w:hAnsi="Times New Roman" w:eastAsia="Batang" w:cs="Times New Roman"/>
                      <w:sz w:val="20"/>
                      <w:szCs w:val="20"/>
                      <w:lang w:bidi="ar"/>
                    </w:rPr>
                    <w:t>Use large RBG-based RIV for RA type 1 based on R16 configurable granularities for DCI format 1_2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VRB-to-PRB mapping</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7.1.5</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PRB bundling size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7.1.6</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Rate matching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7.1.7</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ZP CSI-RS trigger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7.1.8</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Antenna port(s)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Configurable between Type 1A and 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7.1.9</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Times"/>
                      <w:sz w:val="20"/>
                      <w:szCs w:val="20"/>
                      <w:lang w:bidi="ar"/>
                    </w:rPr>
                    <w:t>TCI</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7.1.10</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DMRS sequence initialization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SRS request</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Details in Section 7.1.12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SRS offset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7.1.13</w:t>
                  </w:r>
                </w:p>
              </w:tc>
            </w:tr>
          </w:tbl>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 xml:space="preserve"> </w:t>
            </w:r>
          </w:p>
          <w:p>
            <w:pPr>
              <w:snapToGrid w:val="0"/>
              <w:spacing w:after="0" w:line="240" w:lineRule="auto"/>
              <w:rPr>
                <w:rFonts w:ascii="Times New Roman" w:hAnsi="Times New Roman" w:eastAsia="Batang"/>
                <w:b/>
                <w:bCs/>
                <w:sz w:val="20"/>
                <w:szCs w:val="20"/>
                <w:u w:val="single"/>
              </w:rPr>
            </w:pPr>
            <w:r>
              <w:rPr>
                <w:rFonts w:ascii="Times New Roman" w:hAnsi="Times New Roman" w:eastAsia="Batang"/>
                <w:b/>
                <w:bCs/>
                <w:sz w:val="20"/>
                <w:szCs w:val="20"/>
                <w:u w:val="single"/>
                <w:lang w:bidi="ar"/>
              </w:rPr>
              <w:t>Agreement</w:t>
            </w:r>
          </w:p>
          <w:p>
            <w:pPr>
              <w:numPr>
                <w:ilvl w:val="0"/>
                <w:numId w:val="9"/>
              </w:num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The types for below fields in DCI format 0_X are listed:</w:t>
            </w:r>
          </w:p>
          <w:tbl>
            <w:tblPr>
              <w:tblStyle w:val="27"/>
              <w:tblW w:w="0" w:type="auto"/>
              <w:tblInd w:w="353" w:type="dxa"/>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Layout w:type="autofit"/>
              <w:tblCellMar>
                <w:top w:w="0" w:type="dxa"/>
                <w:left w:w="108" w:type="dxa"/>
                <w:bottom w:w="0" w:type="dxa"/>
                <w:right w:w="108" w:type="dxa"/>
              </w:tblCellMar>
            </w:tblPr>
            <w:tblGrid>
              <w:gridCol w:w="2250"/>
              <w:gridCol w:w="3870"/>
              <w:gridCol w:w="1890"/>
            </w:tblGrid>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 xml:space="preserve">Field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b/>
                      <w:bCs/>
                      <w:sz w:val="20"/>
                      <w:szCs w:val="20"/>
                      <w:lang w:bidi="ar"/>
                    </w:rPr>
                    <w:t>Details</w:t>
                  </w:r>
                  <w:r>
                    <w:rPr>
                      <w:rFonts w:ascii="Times New Roman" w:hAnsi="Times New Roman" w:eastAsia="Batang"/>
                      <w:b/>
                      <w:bCs/>
                      <w:sz w:val="20"/>
                      <w:szCs w:val="20"/>
                      <w:lang w:bidi="ar"/>
                    </w:rPr>
                    <w:br w:type="textWrapping"/>
                  </w:r>
                  <w:r>
                    <w:rPr>
                      <w:rFonts w:ascii="Times New Roman" w:hAnsi="Times New Roman" w:eastAsia="Batang"/>
                      <w:b/>
                      <w:bCs/>
                      <w:sz w:val="20"/>
                      <w:szCs w:val="20"/>
                      <w:lang w:bidi="ar"/>
                    </w:rPr>
                    <w:t>(for information only)</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HARQ process number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 xml:space="preserve">MCS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Alt 1: Type 2 (without compression)</w:t>
                  </w:r>
                </w:p>
                <w:p>
                  <w:pPr>
                    <w:snapToGrid w:val="0"/>
                    <w:spacing w:after="0" w:line="240" w:lineRule="auto"/>
                    <w:rPr>
                      <w:rFonts w:ascii="Times New Roman" w:hAnsi="Times New Roman" w:eastAsia="Batang"/>
                      <w:sz w:val="20"/>
                      <w:szCs w:val="20"/>
                    </w:rPr>
                  </w:pPr>
                </w:p>
                <w:p>
                  <w:pPr>
                    <w:snapToGrid w:val="0"/>
                    <w:spacing w:after="0" w:line="240" w:lineRule="auto"/>
                    <w:rPr>
                      <w:rFonts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BWP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FDRA</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 xml:space="preserve">Type 2 </w:t>
                  </w:r>
                </w:p>
                <w:p>
                  <w:pPr>
                    <w:pStyle w:val="25"/>
                    <w:widowControl w:val="0"/>
                    <w:numPr>
                      <w:ilvl w:val="0"/>
                      <w:numId w:val="8"/>
                    </w:numPr>
                    <w:kinsoku w:val="0"/>
                    <w:overflowPunct w:val="0"/>
                    <w:autoSpaceDE w:val="0"/>
                    <w:autoSpaceDN w:val="0"/>
                    <w:adjustRightInd w:val="0"/>
                    <w:snapToGrid w:val="0"/>
                    <w:jc w:val="both"/>
                    <w:textAlignment w:val="baseline"/>
                    <w:rPr>
                      <w:rFonts w:ascii="Times New Roman" w:hAnsi="Times New Roman" w:eastAsia="Batang" w:cs="Times New Roman"/>
                      <w:sz w:val="20"/>
                      <w:szCs w:val="20"/>
                    </w:rPr>
                  </w:pPr>
                  <w:r>
                    <w:rPr>
                      <w:rFonts w:ascii="Times New Roman" w:hAnsi="Times New Roman" w:eastAsia="Batang" w:cs="Times New Roman"/>
                      <w:sz w:val="20"/>
                      <w:szCs w:val="20"/>
                      <w:lang w:bidi="ar"/>
                    </w:rPr>
                    <w:t xml:space="preserve">Further consider larger RBG granularity than existing maximum specified or configured value for RA type 0 </w:t>
                  </w:r>
                </w:p>
                <w:p>
                  <w:pPr>
                    <w:pStyle w:val="25"/>
                    <w:widowControl w:val="0"/>
                    <w:numPr>
                      <w:ilvl w:val="0"/>
                      <w:numId w:val="8"/>
                    </w:numPr>
                    <w:kinsoku w:val="0"/>
                    <w:overflowPunct w:val="0"/>
                    <w:autoSpaceDE w:val="0"/>
                    <w:autoSpaceDN w:val="0"/>
                    <w:adjustRightInd w:val="0"/>
                    <w:snapToGrid w:val="0"/>
                    <w:jc w:val="both"/>
                    <w:textAlignment w:val="baseline"/>
                    <w:rPr>
                      <w:rFonts w:ascii="Times New Roman" w:hAnsi="Times New Roman" w:eastAsia="Batang" w:cs="Times New Roman"/>
                      <w:sz w:val="20"/>
                      <w:szCs w:val="20"/>
                    </w:rPr>
                  </w:pPr>
                  <w:r>
                    <w:rPr>
                      <w:rFonts w:ascii="Times New Roman" w:hAnsi="Times New Roman" w:eastAsia="Batang" w:cs="Times New Roman"/>
                      <w:sz w:val="20"/>
                      <w:szCs w:val="20"/>
                      <w:lang w:bidi="ar"/>
                    </w:rPr>
                    <w:t>Use large RBG-based RIV for RA type 1 based on R16 configurable granularities for DCI format 1_2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Frequency hopping flag</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7.2.5</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TPC command for scheduled PUSCH</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7.2.6</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Open-loop power control parameter set indication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7.2.7</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Antenna port(s)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7.2.8</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Precoding information and number of layers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7.2.9</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Yu Mincho"/>
                      <w:sz w:val="20"/>
                      <w:szCs w:val="20"/>
                      <w:lang w:bidi="ar"/>
                    </w:rPr>
                    <w:t>PTRS-DMRS association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7.2.10</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DMRS sequence initialization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SRS request</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b/>
                      <w:bCs/>
                      <w:sz w:val="20"/>
                      <w:szCs w:val="20"/>
                    </w:rPr>
                  </w:pPr>
                  <w:r>
                    <w:rPr>
                      <w:rFonts w:ascii="Times New Roman" w:hAnsi="Times New Roman" w:eastAsia="Batang"/>
                      <w:b/>
                      <w:bCs/>
                      <w:sz w:val="20"/>
                      <w:szCs w:val="20"/>
                      <w:lang w:bidi="ar"/>
                    </w:rPr>
                    <w:t>Details in Section 7.2.12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SRS resource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7.2.13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SRS offset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7.2.14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UL/SUL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FFS</w:t>
                  </w:r>
                </w:p>
                <w:p>
                  <w:pPr>
                    <w:snapToGrid w:val="0"/>
                    <w:spacing w:after="0" w:line="240" w:lineRule="auto"/>
                    <w:rPr>
                      <w:rFonts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snapToGrid w:val="0"/>
                    <w:spacing w:after="0" w:line="240" w:lineRule="auto"/>
                    <w:rPr>
                      <w:rFonts w:ascii="Times New Roman" w:hAnsi="Times New Roman" w:eastAsia="Batang"/>
                      <w:sz w:val="20"/>
                      <w:szCs w:val="20"/>
                    </w:rPr>
                  </w:pPr>
                  <w:r>
                    <w:rPr>
                      <w:rFonts w:ascii="Times New Roman" w:hAnsi="Times New Roman" w:eastAsia="Batang"/>
                      <w:sz w:val="20"/>
                      <w:szCs w:val="20"/>
                      <w:lang w:bidi="ar"/>
                    </w:rPr>
                    <w:t>Details in Section 7.2.15</w:t>
                  </w:r>
                </w:p>
              </w:tc>
            </w:tr>
          </w:tbl>
          <w:p>
            <w:pPr>
              <w:pStyle w:val="106"/>
              <w:snapToGrid w:val="0"/>
              <w:spacing w:after="0"/>
              <w:jc w:val="both"/>
              <w:rPr>
                <w:rFonts w:ascii="Times New Roman" w:hAnsi="Times New Roman"/>
                <w:b w:val="0"/>
                <w:bCs/>
                <w:i/>
                <w:lang w:val="en-US" w:eastAsia="zh-CN"/>
              </w:rPr>
            </w:pPr>
          </w:p>
          <w:p>
            <w:pPr>
              <w:spacing w:after="0" w:line="240" w:lineRule="auto"/>
              <w:rPr>
                <w:rFonts w:ascii="Times New Roman" w:hAnsi="Times New Roman" w:eastAsia="宋体"/>
                <w:sz w:val="20"/>
                <w:szCs w:val="20"/>
              </w:rPr>
            </w:pPr>
            <w:r>
              <w:rPr>
                <w:rFonts w:ascii="Times New Roman" w:hAnsi="Times New Roman" w:eastAsia="宋体"/>
                <w:sz w:val="20"/>
                <w:szCs w:val="20"/>
              </w:rPr>
              <w:t>Where type 1B refers to the following</w:t>
            </w:r>
            <w:r>
              <w:rPr>
                <w:rFonts w:hint="eastAsia" w:ascii="Times New Roman" w:hAnsi="Times New Roman" w:eastAsia="宋体"/>
                <w:sz w:val="20"/>
                <w:szCs w:val="20"/>
              </w:rPr>
              <w:t>:</w:t>
            </w:r>
          </w:p>
          <w:p>
            <w:pPr>
              <w:numPr>
                <w:ilvl w:val="0"/>
                <w:numId w:val="10"/>
              </w:numPr>
              <w:spacing w:after="0" w:line="240" w:lineRule="auto"/>
              <w:rPr>
                <w:rFonts w:ascii="Times New Roman" w:hAnsi="Times New Roman" w:eastAsia="Yu Mincho"/>
                <w:sz w:val="20"/>
                <w:szCs w:val="20"/>
                <w:lang w:eastAsia="ja-JP"/>
              </w:rPr>
            </w:pPr>
            <w:r>
              <w:rPr>
                <w:rFonts w:ascii="Times New Roman" w:hAnsi="Times New Roman" w:eastAsia="Yu Mincho"/>
                <w:sz w:val="20"/>
                <w:szCs w:val="20"/>
                <w:lang w:eastAsia="ja-JP"/>
              </w:rPr>
              <w:t>Type 1B</w:t>
            </w:r>
          </w:p>
          <w:p>
            <w:pPr>
              <w:numPr>
                <w:ilvl w:val="1"/>
                <w:numId w:val="10"/>
              </w:numPr>
              <w:spacing w:after="0" w:line="240" w:lineRule="auto"/>
              <w:rPr>
                <w:rFonts w:ascii="Times New Roman" w:hAnsi="Times New Roman" w:eastAsia="Yu Mincho"/>
                <w:sz w:val="20"/>
                <w:szCs w:val="20"/>
                <w:lang w:eastAsia="ja-JP"/>
              </w:rPr>
            </w:pPr>
            <w:r>
              <w:rPr>
                <w:rFonts w:ascii="Times New Roman" w:hAnsi="Times New Roman" w:eastAsia="Yu Mincho"/>
                <w:sz w:val="20"/>
                <w:szCs w:val="20"/>
                <w:lang w:eastAsia="ja-JP"/>
              </w:rPr>
              <w:t>Field size is dependent on number of rows in the configured table which contains combinations of indication for each cell in the set configured for the DCI format 0_X</w:t>
            </w:r>
          </w:p>
          <w:p>
            <w:pPr>
              <w:numPr>
                <w:ilvl w:val="2"/>
                <w:numId w:val="10"/>
              </w:numPr>
              <w:spacing w:after="0" w:line="240" w:lineRule="auto"/>
              <w:rPr>
                <w:rFonts w:ascii="Times New Roman" w:hAnsi="Times New Roman" w:eastAsia="Yu Mincho"/>
                <w:sz w:val="20"/>
                <w:szCs w:val="20"/>
                <w:lang w:eastAsia="ja-JP"/>
              </w:rPr>
            </w:pPr>
            <w:r>
              <w:rPr>
                <w:rFonts w:ascii="Times New Roman" w:hAnsi="Times New Roman" w:eastAsia="Yu Mincho"/>
                <w:sz w:val="20"/>
                <w:szCs w:val="20"/>
                <w:lang w:eastAsia="ja-JP"/>
              </w:rPr>
              <w:t>FFS: maximum number of rows</w:t>
            </w:r>
          </w:p>
          <w:p>
            <w:pPr>
              <w:numPr>
                <w:ilvl w:val="1"/>
                <w:numId w:val="10"/>
              </w:numPr>
              <w:spacing w:after="0" w:line="240" w:lineRule="auto"/>
              <w:rPr>
                <w:rFonts w:ascii="Times New Roman" w:hAnsi="Times New Roman" w:eastAsia="Yu Mincho"/>
                <w:sz w:val="20"/>
                <w:szCs w:val="20"/>
                <w:lang w:eastAsia="ja-JP"/>
              </w:rPr>
            </w:pPr>
            <w:r>
              <w:rPr>
                <w:rFonts w:ascii="Times New Roman" w:hAnsi="Times New Roman" w:eastAsia="Yu Mincho"/>
                <w:sz w:val="20"/>
                <w:szCs w:val="20"/>
                <w:lang w:eastAsia="ja-JP"/>
              </w:rPr>
              <w:t>Indicated bit is interpreted as pointing one row in the configured table</w:t>
            </w:r>
          </w:p>
          <w:p>
            <w:pPr>
              <w:snapToGrid w:val="0"/>
              <w:spacing w:after="0" w:line="240" w:lineRule="auto"/>
              <w:rPr>
                <w:rFonts w:ascii="Times New Roman" w:hAnsi="Times New Roman"/>
                <w:bCs/>
                <w:i/>
                <w:sz w:val="20"/>
                <w:szCs w:val="20"/>
              </w:rPr>
            </w:pPr>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As shown in the above agreements made in multi-cell PDSCH/PUSCH </w:t>
      </w:r>
      <w:r>
        <w:rPr>
          <w:rFonts w:hint="eastAsia" w:ascii="Times New Roman" w:hAnsi="Times New Roman"/>
          <w:bCs/>
          <w:iCs/>
          <w:sz w:val="20"/>
          <w:szCs w:val="20"/>
        </w:rPr>
        <w:t xml:space="preserve">with a single DCI agenda, positioning SRS in two or three intra-band contiguous carriers can be triggered by the SRS request field in a single DCI 0_X or 1_X.  </w:t>
      </w:r>
    </w:p>
    <w:p>
      <w:pPr>
        <w:pStyle w:val="106"/>
        <w:snapToGrid w:val="0"/>
        <w:spacing w:after="0"/>
        <w:jc w:val="both"/>
        <w:rPr>
          <w:rFonts w:ascii="Times New Roman" w:hAnsi="Times New Roman"/>
          <w:b w:val="0"/>
          <w:bCs/>
          <w:i/>
          <w:lang w:val="en-US" w:eastAsia="zh-CN"/>
        </w:rPr>
      </w:pPr>
      <w:r>
        <w:rPr>
          <w:rFonts w:hint="eastAsia" w:ascii="Times New Roman" w:hAnsi="Times New Roman"/>
          <w:i/>
          <w:lang w:val="en-US" w:eastAsia="zh-CN"/>
        </w:rPr>
        <w:t xml:space="preserve">Proposal 9: </w:t>
      </w:r>
      <w:r>
        <w:rPr>
          <w:rFonts w:hint="eastAsia" w:ascii="Times New Roman" w:hAnsi="Times New Roman"/>
          <w:b w:val="0"/>
          <w:bCs/>
          <w:i/>
          <w:lang w:val="en-US" w:eastAsia="zh-CN"/>
        </w:rPr>
        <w:t>Support single DCI triggering aperiodic positioning SRS in two or three</w:t>
      </w:r>
      <w:r>
        <w:rPr>
          <w:rFonts w:ascii="Times New Roman" w:hAnsi="Times New Roman"/>
          <w:b w:val="0"/>
          <w:bCs/>
          <w:i/>
          <w:lang w:val="en-US" w:eastAsia="zh-CN"/>
        </w:rPr>
        <w:t xml:space="preserve"> contiguous NUL</w:t>
      </w:r>
      <w:r>
        <w:rPr>
          <w:rFonts w:hint="eastAsia" w:ascii="Times New Roman" w:hAnsi="Times New Roman"/>
          <w:b w:val="0"/>
          <w:bCs/>
          <w:i/>
          <w:lang w:val="en-US" w:eastAsia="zh-CN"/>
        </w:rPr>
        <w:t xml:space="preserve"> carriers for SRS aggregation. </w:t>
      </w:r>
    </w:p>
    <w:p>
      <w:pPr>
        <w:numPr>
          <w:ilvl w:val="0"/>
          <w:numId w:val="5"/>
        </w:numPr>
        <w:snapToGrid w:val="0"/>
        <w:spacing w:after="0" w:line="240" w:lineRule="auto"/>
        <w:jc w:val="both"/>
        <w:rPr>
          <w:rFonts w:ascii="Times New Roman" w:hAnsi="Times New Roman"/>
          <w:iCs/>
          <w:sz w:val="20"/>
          <w:szCs w:val="20"/>
        </w:rPr>
      </w:pPr>
      <w:r>
        <w:rPr>
          <w:rFonts w:hint="eastAsia" w:ascii="Times New Roman" w:hAnsi="Times New Roman"/>
          <w:i/>
          <w:sz w:val="20"/>
          <w:szCs w:val="20"/>
        </w:rPr>
        <w:t xml:space="preserve">Try to reuse the achievement in the agenda of multi-cell PDSCH/PUSCH with a single DCI </w:t>
      </w:r>
    </w:p>
    <w:p>
      <w:pPr>
        <w:pStyle w:val="4"/>
        <w:numPr>
          <w:ilvl w:val="2"/>
          <w:numId w:val="3"/>
        </w:numPr>
        <w:rPr>
          <w:rFonts w:ascii="Times New Roman" w:hAnsi="Times New Roman"/>
          <w:sz w:val="21"/>
          <w:szCs w:val="21"/>
          <w:lang w:val="en-US"/>
        </w:rPr>
      </w:pPr>
      <w:r>
        <w:rPr>
          <w:rFonts w:ascii="Times New Roman" w:hAnsi="Times New Roman"/>
          <w:sz w:val="21"/>
          <w:szCs w:val="21"/>
          <w:lang w:val="en-US"/>
        </w:rPr>
        <w:t xml:space="preserve">RRC </w:t>
      </w:r>
      <w:r>
        <w:rPr>
          <w:rFonts w:hint="eastAsia" w:ascii="Times New Roman" w:hAnsi="Times New Roman"/>
          <w:sz w:val="21"/>
          <w:szCs w:val="21"/>
          <w:lang w:val="en-US"/>
        </w:rPr>
        <w:t xml:space="preserve">inactive </w:t>
      </w:r>
      <w:r>
        <w:rPr>
          <w:rFonts w:ascii="Times New Roman" w:hAnsi="Times New Roman"/>
          <w:sz w:val="21"/>
          <w:szCs w:val="21"/>
          <w:lang w:val="en-US"/>
        </w:rPr>
        <w:t xml:space="preserve">mode </w:t>
      </w:r>
    </w:p>
    <w:p>
      <w:pPr>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bCs/>
          <w:iCs/>
          <w:sz w:val="20"/>
          <w:szCs w:val="20"/>
        </w:rPr>
        <w:t xml:space="preserve">In Rel-17, semi-persistent and periodic SRS for positioning are supported for UE in RRC inactive mode. The positioning SRS configured by </w:t>
      </w:r>
      <w:r>
        <w:rPr>
          <w:rFonts w:hint="eastAsia" w:ascii="Times New Roman" w:hAnsi="Times New Roman"/>
          <w:bCs/>
          <w:i/>
          <w:sz w:val="20"/>
          <w:szCs w:val="20"/>
        </w:rPr>
        <w:t xml:space="preserve">RRCRelease </w:t>
      </w:r>
      <w:r>
        <w:rPr>
          <w:rFonts w:hint="eastAsia" w:ascii="Times New Roman" w:hAnsi="Times New Roman"/>
          <w:bCs/>
          <w:iCs/>
          <w:sz w:val="20"/>
          <w:szCs w:val="20"/>
        </w:rPr>
        <w:t>signaling, and the details are shown in following according to 38.331, where SRS configuration for NUL or SUL can be within or outside the initial BWP. It is noted that the SRS is assumed within the same serving cell of the initial BWP.</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rPr>
      </w:pPr>
      <w:r>
        <w:rPr>
          <w:rFonts w:ascii="Courier New" w:hAnsi="Courier New" w:eastAsia="Times New Roman" w:cs="Times New Roman"/>
          <w:sz w:val="16"/>
          <w:szCs w:val="16"/>
          <w:lang w:bidi="ar"/>
        </w:rPr>
        <w:t xml:space="preserve">SRS-PosRRC-InactiveConfig-r17 ::=       </w:t>
      </w:r>
      <w:r>
        <w:rPr>
          <w:rFonts w:ascii="Courier New" w:hAnsi="Courier New" w:eastAsia="Times New Roman" w:cs="Times New Roman"/>
          <w:color w:val="993366"/>
          <w:sz w:val="16"/>
          <w:szCs w:val="16"/>
          <w:lang w:bidi="ar"/>
        </w:rPr>
        <w:t>SEQUENCE</w:t>
      </w:r>
      <w:r>
        <w:rPr>
          <w:rFonts w:ascii="Courier New" w:hAnsi="Courier New" w:eastAsia="Times New Roman" w:cs="Times New Roman"/>
          <w:sz w:val="16"/>
          <w:szCs w:val="16"/>
          <w:lang w:bidi="ar"/>
        </w:rPr>
        <w:t xml:space="preserve"> {</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srs-PosConfigNUL-r17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srs-PosConfigSUL-r17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bwp-NUL-r17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bwp-SUL-r17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inactivePosSRS-TimeAlignmentTimer-r17   TimeAlignmentTimer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M</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inactivePosSRS-RSRP-changeThreshold-r17 RSRP-ChangeThreshold-r17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M</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rPr>
      </w:pPr>
      <w:r>
        <w:rPr>
          <w:rFonts w:ascii="Courier New" w:hAnsi="Courier New" w:eastAsia="Times New Roman" w:cs="Times New Roman"/>
          <w:sz w:val="16"/>
          <w:szCs w:val="16"/>
          <w:lang w:bidi="ar"/>
        </w:rPr>
        <w:t>}</w:t>
      </w:r>
    </w:p>
    <w:p>
      <w:pPr>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bCs/>
          <w:iCs/>
          <w:sz w:val="20"/>
          <w:szCs w:val="20"/>
        </w:rPr>
        <w:t xml:space="preserve">For Rel-18, to support SRS carrier aggregation, an additional SRS configuration in a serving cell other than the one of initial BWP should be introduced and informed by </w:t>
      </w:r>
      <w:r>
        <w:rPr>
          <w:rFonts w:hint="eastAsia" w:ascii="Times New Roman" w:hAnsi="Times New Roman"/>
          <w:bCs/>
          <w:i/>
          <w:sz w:val="20"/>
          <w:szCs w:val="20"/>
        </w:rPr>
        <w:t xml:space="preserve">RRCRelease </w:t>
      </w:r>
      <w:r>
        <w:rPr>
          <w:rFonts w:hint="eastAsia" w:ascii="Times New Roman" w:hAnsi="Times New Roman"/>
          <w:bCs/>
          <w:iCs/>
          <w:sz w:val="20"/>
          <w:szCs w:val="20"/>
        </w:rPr>
        <w:t xml:space="preserve">signaling. Because </w:t>
      </w:r>
      <w:r>
        <w:rPr>
          <w:rFonts w:ascii="Times New Roman" w:hAnsi="Times New Roman"/>
          <w:bCs/>
          <w:iCs/>
          <w:sz w:val="20"/>
          <w:szCs w:val="20"/>
        </w:rPr>
        <w:t xml:space="preserve">intra-band contiguous </w:t>
      </w:r>
      <w:r>
        <w:rPr>
          <w:rFonts w:hint="eastAsia" w:ascii="Times New Roman" w:hAnsi="Times New Roman"/>
          <w:bCs/>
          <w:iCs/>
          <w:sz w:val="20"/>
          <w:szCs w:val="20"/>
        </w:rPr>
        <w:t xml:space="preserve">carrier aggregation is only supported among NUL carriers, the newly introduced SRS configuration only for NUL is sufficient. One example for new RRC IE is shown as follows. </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lang w:bidi="ar"/>
        </w:rPr>
      </w:pPr>
      <w:r>
        <w:rPr>
          <w:rFonts w:ascii="Courier New" w:hAnsi="Courier New" w:eastAsia="Times New Roman" w:cs="Times New Roman"/>
          <w:color w:val="C00000"/>
          <w:sz w:val="16"/>
          <w:szCs w:val="16"/>
          <w:lang w:bidi="ar"/>
        </w:rPr>
        <w:t>SRS-PosRRC-InactiveConfig-</w:t>
      </w:r>
      <w:r>
        <w:rPr>
          <w:rFonts w:ascii="Courier New" w:hAnsi="Courier New" w:eastAsia="Times New Roman" w:cs="Times New Roman"/>
          <w:b/>
          <w:bCs/>
          <w:color w:val="C00000"/>
          <w:sz w:val="16"/>
          <w:szCs w:val="16"/>
          <w:lang w:bidi="ar"/>
        </w:rPr>
        <w:t>r1</w:t>
      </w:r>
      <w:r>
        <w:rPr>
          <w:rFonts w:hint="eastAsia" w:ascii="Courier New" w:hAnsi="Courier New" w:eastAsia="Times New Roman" w:cs="Times New Roman"/>
          <w:b/>
          <w:bCs/>
          <w:color w:val="C00000"/>
          <w:sz w:val="16"/>
          <w:szCs w:val="16"/>
          <w:lang w:bidi="ar"/>
        </w:rPr>
        <w:t>8</w:t>
      </w:r>
      <w:r>
        <w:rPr>
          <w:rFonts w:ascii="Courier New" w:hAnsi="Courier New" w:eastAsia="Times New Roman" w:cs="Times New Roman"/>
          <w:sz w:val="16"/>
          <w:szCs w:val="16"/>
          <w:lang w:bidi="ar"/>
        </w:rPr>
        <w:t xml:space="preserve"> ::=       {</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C00000"/>
          <w:sz w:val="16"/>
          <w:szCs w:val="16"/>
          <w:lang w:bidi="ar"/>
        </w:rPr>
      </w:pPr>
      <w:r>
        <w:rPr>
          <w:rFonts w:hint="eastAsia" w:ascii="Courier New" w:hAnsi="Courier New" w:eastAsia="Times New Roman" w:cs="Times New Roman"/>
          <w:color w:val="C00000"/>
          <w:sz w:val="16"/>
          <w:szCs w:val="16"/>
          <w:lang w:bidi="ar"/>
        </w:rPr>
        <w:t>AdditionalServingcell_PosSRS</w:t>
      </w:r>
      <w:r>
        <w:rPr>
          <w:rFonts w:ascii="Courier New" w:hAnsi="Courier New" w:eastAsia="Times New Roman" w:cs="Times New Roman"/>
          <w:color w:val="C00000"/>
          <w:sz w:val="16"/>
          <w:szCs w:val="16"/>
          <w:lang w:bidi="ar"/>
        </w:rPr>
        <w:t>-r1</w:t>
      </w:r>
      <w:r>
        <w:rPr>
          <w:rFonts w:hint="eastAsia" w:ascii="Courier New" w:hAnsi="Courier New" w:eastAsia="Times New Roman" w:cs="Times New Roman"/>
          <w:color w:val="C00000"/>
          <w:sz w:val="16"/>
          <w:szCs w:val="16"/>
          <w:lang w:bidi="ar"/>
        </w:rPr>
        <w:t xml:space="preserve">8_list  </w:t>
      </w:r>
      <w:r>
        <w:rPr>
          <w:rFonts w:ascii="Courier New" w:hAnsi="Courier New" w:eastAsia="Times New Roman" w:cs="Times New Roman"/>
          <w:color w:val="993366"/>
          <w:sz w:val="16"/>
          <w:szCs w:val="16"/>
          <w:lang w:bidi="ar"/>
        </w:rPr>
        <w:t xml:space="preserve">SEQUENCE </w:t>
      </w:r>
      <w:r>
        <w:rPr>
          <w:rFonts w:ascii="Courier New" w:hAnsi="Courier New" w:eastAsia="Times New Roman" w:cs="Times New Roman"/>
          <w:color w:val="C00000"/>
          <w:sz w:val="16"/>
          <w:szCs w:val="16"/>
          <w:lang w:bidi="ar"/>
        </w:rPr>
        <w:t>(SIZE (1..</w:t>
      </w:r>
      <w:r>
        <w:rPr>
          <w:rFonts w:hint="eastAsia" w:ascii="Courier New" w:hAnsi="Courier New" w:eastAsia="Times New Roman" w:cs="Times New Roman"/>
          <w:color w:val="C00000"/>
          <w:sz w:val="16"/>
          <w:szCs w:val="16"/>
          <w:lang w:bidi="ar"/>
        </w:rPr>
        <w:t>2</w:t>
      </w:r>
      <w:r>
        <w:rPr>
          <w:rFonts w:ascii="Courier New" w:hAnsi="Courier New" w:eastAsia="Times New Roman" w:cs="Times New Roman"/>
          <w:color w:val="C00000"/>
          <w:sz w:val="16"/>
          <w:szCs w:val="16"/>
          <w:lang w:bidi="ar"/>
        </w:rPr>
        <w:t xml:space="preserve">)) OF </w:t>
      </w:r>
      <w:r>
        <w:rPr>
          <w:rFonts w:hint="eastAsia" w:ascii="Courier New" w:hAnsi="Courier New" w:eastAsia="Times New Roman" w:cs="Times New Roman"/>
          <w:color w:val="C00000"/>
          <w:sz w:val="16"/>
          <w:szCs w:val="16"/>
          <w:lang w:bidi="ar"/>
        </w:rPr>
        <w:t>AdditionalServingcell_PosSRS</w:t>
      </w:r>
      <w:r>
        <w:rPr>
          <w:rFonts w:ascii="Courier New" w:hAnsi="Courier New" w:eastAsia="Times New Roman" w:cs="Times New Roman"/>
          <w:color w:val="C00000"/>
          <w:sz w:val="16"/>
          <w:szCs w:val="16"/>
          <w:lang w:bidi="ar"/>
        </w:rPr>
        <w:t>-</w:t>
      </w:r>
      <w:r>
        <w:rPr>
          <w:rFonts w:ascii="Courier New" w:hAnsi="Courier New" w:eastAsia="Times New Roman" w:cs="Times New Roman"/>
          <w:b/>
          <w:bCs/>
          <w:color w:val="C00000"/>
          <w:sz w:val="16"/>
          <w:szCs w:val="16"/>
          <w:lang w:bidi="ar"/>
        </w:rPr>
        <w:t>r1</w:t>
      </w:r>
      <w:r>
        <w:rPr>
          <w:rFonts w:hint="eastAsia" w:ascii="Courier New" w:hAnsi="Courier New" w:eastAsia="Times New Roman" w:cs="Times New Roman"/>
          <w:b/>
          <w:bCs/>
          <w:color w:val="C00000"/>
          <w:sz w:val="16"/>
          <w:szCs w:val="16"/>
          <w:lang w:bidi="ar"/>
        </w:rPr>
        <w:t>8</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C00000"/>
          <w:sz w:val="16"/>
          <w:szCs w:val="16"/>
          <w:lang w:bidi="ar"/>
        </w:rPr>
      </w:pPr>
      <w:r>
        <w:rPr>
          <w:rFonts w:hint="eastAsia" w:ascii="Courier New" w:hAnsi="Courier New" w:eastAsia="Times New Roman" w:cs="Times New Roman"/>
          <w:color w:val="C00000"/>
          <w:sz w:val="16"/>
          <w:szCs w:val="16"/>
          <w:lang w:bidi="ar"/>
        </w:rPr>
        <w:t>}</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C00000"/>
          <w:sz w:val="16"/>
          <w:szCs w:val="16"/>
          <w:lang w:bidi="ar"/>
        </w:rPr>
      </w:pP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lang w:bidi="ar"/>
        </w:rPr>
      </w:pPr>
      <w:r>
        <w:rPr>
          <w:rFonts w:hint="eastAsia" w:ascii="Courier New" w:hAnsi="Courier New" w:eastAsia="Times New Roman" w:cs="Times New Roman"/>
          <w:color w:val="C00000"/>
          <w:sz w:val="16"/>
          <w:szCs w:val="16"/>
          <w:lang w:bidi="ar"/>
        </w:rPr>
        <w:t>AdditionalServingcell_PosSRS</w:t>
      </w:r>
      <w:r>
        <w:rPr>
          <w:rFonts w:ascii="Courier New" w:hAnsi="Courier New" w:eastAsia="Times New Roman" w:cs="Times New Roman"/>
          <w:color w:val="C00000"/>
          <w:sz w:val="16"/>
          <w:szCs w:val="16"/>
          <w:lang w:bidi="ar"/>
        </w:rPr>
        <w:t>-</w:t>
      </w:r>
      <w:r>
        <w:rPr>
          <w:rFonts w:ascii="Courier New" w:hAnsi="Courier New" w:eastAsia="Times New Roman" w:cs="Times New Roman"/>
          <w:b/>
          <w:bCs/>
          <w:color w:val="C00000"/>
          <w:sz w:val="16"/>
          <w:szCs w:val="16"/>
          <w:lang w:bidi="ar"/>
        </w:rPr>
        <w:t>r1</w:t>
      </w:r>
      <w:r>
        <w:rPr>
          <w:rFonts w:hint="eastAsia" w:ascii="Courier New" w:hAnsi="Courier New" w:eastAsia="Times New Roman" w:cs="Times New Roman"/>
          <w:b/>
          <w:bCs/>
          <w:color w:val="C00000"/>
          <w:sz w:val="16"/>
          <w:szCs w:val="16"/>
          <w:lang w:bidi="ar"/>
        </w:rPr>
        <w:t>8</w:t>
      </w:r>
      <w:r>
        <w:rPr>
          <w:rFonts w:ascii="Courier New" w:hAnsi="Courier New" w:eastAsia="Times New Roman" w:cs="Times New Roman"/>
          <w:sz w:val="16"/>
          <w:szCs w:val="16"/>
          <w:lang w:bidi="ar"/>
        </w:rPr>
        <w:t xml:space="preserve"> ::=       </w:t>
      </w:r>
      <w:r>
        <w:rPr>
          <w:rFonts w:ascii="Courier New" w:hAnsi="Courier New" w:eastAsia="Times New Roman" w:cs="Times New Roman"/>
          <w:color w:val="993366"/>
          <w:sz w:val="16"/>
          <w:szCs w:val="16"/>
          <w:lang w:bidi="ar"/>
        </w:rPr>
        <w:t>SEQUENCE</w:t>
      </w:r>
      <w:r>
        <w:rPr>
          <w:rFonts w:ascii="Courier New" w:hAnsi="Courier New" w:eastAsia="Times New Roman" w:cs="Times New Roman"/>
          <w:sz w:val="16"/>
          <w:szCs w:val="16"/>
          <w:lang w:bidi="ar"/>
        </w:rPr>
        <w:t xml:space="preserve"> {</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srs-PosConfigNUL-r17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25"/>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lang w:bidi="ar"/>
        </w:rPr>
      </w:pPr>
      <w:r>
        <w:rPr>
          <w:rFonts w:ascii="Courier New" w:hAnsi="Courier New" w:eastAsia="Times New Roman" w:cs="Times New Roman"/>
          <w:sz w:val="16"/>
          <w:szCs w:val="16"/>
          <w:lang w:bidi="ar"/>
        </w:rPr>
        <w:t xml:space="preserve">    bwp-NUL-r17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8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ind w:firstLine="320" w:firstLineChars="200"/>
        <w:rPr>
          <w:color w:val="808080"/>
          <w:szCs w:val="24"/>
        </w:rPr>
      </w:pPr>
      <w:r>
        <w:rPr>
          <w:szCs w:val="24"/>
        </w:rPr>
        <w:t xml:space="preserve">absoluteFrequencyPointA             ARFCN-ValueNR                                           </w:t>
      </w:r>
      <w:r>
        <w:rPr>
          <w:color w:val="993366"/>
          <w:szCs w:val="24"/>
        </w:rPr>
        <w:t>OPTIONAL</w:t>
      </w:r>
      <w:r>
        <w:rPr>
          <w:szCs w:val="24"/>
        </w:rPr>
        <w:t xml:space="preserve">,   </w:t>
      </w:r>
      <w:r>
        <w:rPr>
          <w:color w:val="808080"/>
          <w:szCs w:val="24"/>
        </w:rPr>
        <w:t>-- Cond FDD-OrSUL</w:t>
      </w:r>
    </w:p>
    <w:p>
      <w:pPr>
        <w:pStyle w:val="8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color w:val="808080"/>
          <w:szCs w:val="24"/>
        </w:rPr>
      </w:pPr>
      <w:r>
        <w:rPr>
          <w:szCs w:val="24"/>
        </w:rPr>
        <w:t xml:space="preserve">    p-Max                               P-Max                                                   </w:t>
      </w:r>
      <w:r>
        <w:rPr>
          <w:color w:val="993366"/>
          <w:szCs w:val="24"/>
        </w:rPr>
        <w:t>OPTIONAL</w:t>
      </w:r>
      <w:r>
        <w:rPr>
          <w:szCs w:val="24"/>
        </w:rPr>
        <w:t xml:space="preserve">,   </w:t>
      </w:r>
      <w:r>
        <w:rPr>
          <w:color w:val="808080"/>
          <w:szCs w:val="24"/>
        </w:rPr>
        <w:t>-- Need S</w:t>
      </w:r>
    </w:p>
    <w:p>
      <w:pPr>
        <w:pStyle w:val="8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ind w:firstLine="320"/>
        <w:rPr>
          <w:color w:val="808080"/>
          <w:szCs w:val="24"/>
        </w:rPr>
      </w:pPr>
      <w:r>
        <w:rPr>
          <w:szCs w:val="24"/>
        </w:rPr>
        <w:t xml:space="preserve">frequencyShift7p5khz                </w:t>
      </w:r>
      <w:r>
        <w:rPr>
          <w:color w:val="993366"/>
          <w:szCs w:val="24"/>
        </w:rPr>
        <w:t>ENUMERATED</w:t>
      </w:r>
      <w:r>
        <w:rPr>
          <w:szCs w:val="24"/>
        </w:rPr>
        <w:t xml:space="preserve"> {true}                                       </w:t>
      </w:r>
      <w:r>
        <w:rPr>
          <w:color w:val="993366"/>
          <w:szCs w:val="24"/>
        </w:rPr>
        <w:t>OPTIONAL</w:t>
      </w:r>
      <w:r>
        <w:rPr>
          <w:szCs w:val="24"/>
        </w:rPr>
        <w:t xml:space="preserve">,   </w:t>
      </w:r>
      <w:r>
        <w:rPr>
          <w:color w:val="808080"/>
          <w:szCs w:val="24"/>
        </w:rPr>
        <w:t>-- Cond FDD-TDD-OrSUL-Optional</w:t>
      </w:r>
    </w:p>
    <w:p>
      <w:pPr>
        <w:pStyle w:val="8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eastAsia="宋体"/>
          <w:szCs w:val="24"/>
          <w:lang w:val="en-US" w:eastAsia="zh-CN"/>
        </w:rPr>
      </w:pPr>
      <w:r>
        <w:rPr>
          <w:rFonts w:hint="eastAsia" w:eastAsia="宋体"/>
          <w:szCs w:val="24"/>
          <w:lang w:val="en-US" w:eastAsia="zh-CN"/>
        </w:rPr>
        <w:t>}</w:t>
      </w:r>
    </w:p>
    <w:p>
      <w:pPr>
        <w:snapToGrid w:val="0"/>
        <w:spacing w:before="180" w:beforeLines="50" w:after="180" w:afterLines="50" w:line="240" w:lineRule="auto"/>
        <w:jc w:val="both"/>
        <w:rPr>
          <w:rFonts w:ascii="Times New Roman" w:hAnsi="Times New Roman"/>
          <w:bCs/>
          <w:i/>
          <w:sz w:val="20"/>
          <w:szCs w:val="20"/>
        </w:rPr>
      </w:pPr>
      <w:r>
        <w:rPr>
          <w:rFonts w:hint="eastAsia" w:ascii="Times New Roman" w:hAnsi="Times New Roman"/>
          <w:b/>
          <w:i/>
          <w:sz w:val="20"/>
          <w:szCs w:val="20"/>
        </w:rPr>
        <w:t>Proposal 10:</w:t>
      </w:r>
      <w:r>
        <w:rPr>
          <w:rFonts w:hint="eastAsia" w:ascii="Times New Roman" w:hAnsi="Times New Roman"/>
          <w:bCs/>
          <w:i/>
          <w:sz w:val="20"/>
          <w:szCs w:val="20"/>
        </w:rPr>
        <w:t xml:space="preserve"> To support two or three carrier aggregation of positioning SRS transmission for UE in RRC inactive mode, newly introduce one or two NUL carriers with respective SRS configuration, where the newly introduced carrier(s) and the carrier of the initial BWP are intra-band </w:t>
      </w:r>
      <w:r>
        <w:rPr>
          <w:rFonts w:ascii="Times New Roman" w:hAnsi="Times New Roman"/>
          <w:bCs/>
          <w:i/>
          <w:sz w:val="20"/>
          <w:szCs w:val="20"/>
        </w:rPr>
        <w:t xml:space="preserve">NUL </w:t>
      </w:r>
      <w:r>
        <w:rPr>
          <w:rFonts w:hint="eastAsia" w:ascii="Times New Roman" w:hAnsi="Times New Roman"/>
          <w:bCs/>
          <w:i/>
          <w:sz w:val="20"/>
          <w:szCs w:val="20"/>
        </w:rPr>
        <w:t>contiguous carriers.</w:t>
      </w:r>
    </w:p>
    <w:p>
      <w:pPr>
        <w:snapToGrid w:val="0"/>
        <w:spacing w:before="180" w:beforeLines="50" w:after="180" w:afterLines="50" w:line="240" w:lineRule="auto"/>
        <w:jc w:val="both"/>
        <w:rPr>
          <w:rFonts w:ascii="Times New Roman" w:hAnsi="Times New Roman"/>
          <w:sz w:val="20"/>
          <w:szCs w:val="20"/>
        </w:rPr>
      </w:pP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Measurement report</w:t>
      </w:r>
    </w:p>
    <w:p>
      <w:pPr>
        <w:snapToGrid w:val="0"/>
        <w:jc w:val="both"/>
        <w:rPr>
          <w:rFonts w:ascii="Times New Roman" w:hAnsi="Times New Roman" w:eastAsia="宋体"/>
          <w:sz w:val="20"/>
          <w:szCs w:val="20"/>
        </w:rPr>
      </w:pPr>
      <w:r>
        <w:rPr>
          <w:rFonts w:hint="eastAsia" w:ascii="Times New Roman" w:hAnsi="Times New Roman" w:eastAsia="宋体"/>
          <w:sz w:val="20"/>
          <w:szCs w:val="20"/>
        </w:rPr>
        <w:t xml:space="preserve">In Rel-16/17, gNBs should report TRP measurement results via NRPPa signaling in 38.455 as shown in the following box, where each TRP measurement result may be reported with cell ID and SRS resource ID together.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3"/>
                <w:numId w:val="0"/>
              </w:numPr>
              <w:rPr>
                <w:sz w:val="18"/>
                <w:szCs w:val="18"/>
              </w:rPr>
            </w:pPr>
            <w:bookmarkStart w:id="12" w:name="_Toc106109578"/>
            <w:bookmarkStart w:id="13" w:name="_Toc105612362"/>
            <w:bookmarkStart w:id="14" w:name="_Toc113379386"/>
            <w:bookmarkStart w:id="15" w:name="_Toc74152321"/>
            <w:bookmarkStart w:id="16" w:name="_Toc99056243"/>
            <w:bookmarkStart w:id="17" w:name="_Toc99959176"/>
            <w:bookmarkStart w:id="18" w:name="_Toc64447665"/>
            <w:bookmarkStart w:id="19" w:name="_Toc56773036"/>
            <w:bookmarkStart w:id="20" w:name="_Toc51776014"/>
            <w:bookmarkStart w:id="21" w:name="_Toc112766470"/>
            <w:bookmarkStart w:id="22" w:name="_Toc88654174"/>
            <w:r>
              <w:rPr>
                <w:sz w:val="18"/>
                <w:szCs w:val="18"/>
              </w:rPr>
              <w:t>9.1.4.4</w:t>
            </w:r>
            <w:r>
              <w:rPr>
                <w:sz w:val="18"/>
                <w:szCs w:val="18"/>
              </w:rPr>
              <w:tab/>
            </w:r>
            <w:r>
              <w:rPr>
                <w:sz w:val="18"/>
                <w:szCs w:val="18"/>
              </w:rPr>
              <w:t>MEASUREMENT REPORT</w:t>
            </w:r>
            <w:bookmarkEnd w:id="12"/>
            <w:bookmarkEnd w:id="13"/>
            <w:bookmarkEnd w:id="14"/>
            <w:bookmarkEnd w:id="15"/>
            <w:bookmarkEnd w:id="16"/>
            <w:bookmarkEnd w:id="17"/>
            <w:bookmarkEnd w:id="18"/>
            <w:bookmarkEnd w:id="19"/>
            <w:bookmarkEnd w:id="20"/>
            <w:bookmarkEnd w:id="21"/>
            <w:bookmarkEnd w:id="22"/>
          </w:p>
          <w:p>
            <w:pPr>
              <w:snapToGrid w:val="0"/>
              <w:spacing w:after="0" w:line="240" w:lineRule="auto"/>
              <w:rPr>
                <w:rFonts w:ascii="Times New Roman" w:hAnsi="Times New Roman"/>
                <w:sz w:val="18"/>
                <w:szCs w:val="18"/>
              </w:rPr>
            </w:pPr>
            <w:r>
              <w:rPr>
                <w:rFonts w:ascii="Times New Roman" w:hAnsi="Times New Roman"/>
                <w:sz w:val="18"/>
                <w:szCs w:val="18"/>
              </w:rPr>
              <w:t>This message is sent by the NG-RAN node to report positioning measurements for the target UE.</w:t>
            </w:r>
          </w:p>
          <w:p>
            <w:pPr>
              <w:snapToGrid w:val="0"/>
              <w:spacing w:after="0" w:line="240" w:lineRule="auto"/>
              <w:rPr>
                <w:rFonts w:ascii="Times New Roman" w:hAnsi="Times New Roman"/>
                <w:sz w:val="18"/>
                <w:szCs w:val="18"/>
              </w:rPr>
            </w:pPr>
            <w:r>
              <w:rPr>
                <w:rFonts w:ascii="Times New Roman" w:hAnsi="Times New Roman"/>
                <w:sz w:val="18"/>
                <w:szCs w:val="18"/>
              </w:rPr>
              <w:t xml:space="preserve">Direction: NG-RAN node </w:t>
            </w:r>
            <w:r>
              <w:rPr>
                <w:rFonts w:ascii="Times New Roman" w:hAnsi="Times New Roman"/>
                <w:sz w:val="18"/>
                <w:szCs w:val="18"/>
              </w:rPr>
              <w:sym w:font="Symbol" w:char="F0AE"/>
            </w:r>
            <w:r>
              <w:rPr>
                <w:rFonts w:ascii="Times New Roman" w:hAnsi="Times New Roman"/>
                <w:sz w:val="18"/>
                <w:szCs w:val="18"/>
              </w:rPr>
              <w:t xml:space="preserve"> LMF.</w:t>
            </w:r>
          </w:p>
          <w:tbl>
            <w:tblPr>
              <w:tblStyle w:val="27"/>
              <w:tblW w:w="91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969"/>
              <w:gridCol w:w="2088"/>
              <w:gridCol w:w="1284"/>
              <w:gridCol w:w="1226"/>
              <w:gridCol w:w="1006"/>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5" w:hRule="atLeast"/>
              </w:trPr>
              <w:tc>
                <w:tcPr>
                  <w:tcW w:w="1621" w:type="dxa"/>
                </w:tcPr>
                <w:p>
                  <w:pPr>
                    <w:pStyle w:val="59"/>
                    <w:snapToGrid w:val="0"/>
                    <w:rPr>
                      <w:rFonts w:ascii="Times New Roman" w:hAnsi="Times New Roman"/>
                      <w:szCs w:val="18"/>
                    </w:rPr>
                  </w:pPr>
                  <w:r>
                    <w:rPr>
                      <w:rFonts w:ascii="Times New Roman" w:hAnsi="Times New Roman"/>
                      <w:szCs w:val="18"/>
                    </w:rPr>
                    <w:t>IE/Group Name</w:t>
                  </w:r>
                </w:p>
              </w:tc>
              <w:tc>
                <w:tcPr>
                  <w:tcW w:w="970" w:type="dxa"/>
                </w:tcPr>
                <w:p>
                  <w:pPr>
                    <w:pStyle w:val="59"/>
                    <w:snapToGrid w:val="0"/>
                    <w:rPr>
                      <w:rFonts w:ascii="Times New Roman" w:hAnsi="Times New Roman"/>
                      <w:szCs w:val="18"/>
                    </w:rPr>
                  </w:pPr>
                  <w:r>
                    <w:rPr>
                      <w:rFonts w:ascii="Times New Roman" w:hAnsi="Times New Roman"/>
                      <w:szCs w:val="18"/>
                    </w:rPr>
                    <w:t>Presence</w:t>
                  </w:r>
                </w:p>
              </w:tc>
              <w:tc>
                <w:tcPr>
                  <w:tcW w:w="2088" w:type="dxa"/>
                </w:tcPr>
                <w:p>
                  <w:pPr>
                    <w:pStyle w:val="59"/>
                    <w:snapToGrid w:val="0"/>
                    <w:rPr>
                      <w:rFonts w:ascii="Times New Roman" w:hAnsi="Times New Roman"/>
                      <w:szCs w:val="18"/>
                    </w:rPr>
                  </w:pPr>
                  <w:r>
                    <w:rPr>
                      <w:rFonts w:ascii="Times New Roman" w:hAnsi="Times New Roman"/>
                      <w:szCs w:val="18"/>
                    </w:rPr>
                    <w:t>Range</w:t>
                  </w:r>
                </w:p>
              </w:tc>
              <w:tc>
                <w:tcPr>
                  <w:tcW w:w="1284" w:type="dxa"/>
                </w:tcPr>
                <w:p>
                  <w:pPr>
                    <w:pStyle w:val="59"/>
                    <w:snapToGrid w:val="0"/>
                    <w:rPr>
                      <w:rFonts w:ascii="Times New Roman" w:hAnsi="Times New Roman"/>
                      <w:szCs w:val="18"/>
                    </w:rPr>
                  </w:pPr>
                  <w:r>
                    <w:rPr>
                      <w:rFonts w:ascii="Times New Roman" w:hAnsi="Times New Roman"/>
                      <w:szCs w:val="18"/>
                    </w:rPr>
                    <w:t>IE type and reference</w:t>
                  </w:r>
                </w:p>
              </w:tc>
              <w:tc>
                <w:tcPr>
                  <w:tcW w:w="1227" w:type="dxa"/>
                </w:tcPr>
                <w:p>
                  <w:pPr>
                    <w:pStyle w:val="59"/>
                    <w:snapToGrid w:val="0"/>
                    <w:rPr>
                      <w:rFonts w:ascii="Times New Roman" w:hAnsi="Times New Roman"/>
                      <w:szCs w:val="18"/>
                    </w:rPr>
                  </w:pPr>
                  <w:r>
                    <w:rPr>
                      <w:rFonts w:ascii="Times New Roman" w:hAnsi="Times New Roman"/>
                      <w:szCs w:val="18"/>
                    </w:rPr>
                    <w:t>Semantics description</w:t>
                  </w:r>
                </w:p>
              </w:tc>
              <w:tc>
                <w:tcPr>
                  <w:tcW w:w="1004" w:type="dxa"/>
                </w:tcPr>
                <w:p>
                  <w:pPr>
                    <w:pStyle w:val="59"/>
                    <w:snapToGrid w:val="0"/>
                    <w:rPr>
                      <w:rFonts w:ascii="Times New Roman" w:hAnsi="Times New Roman"/>
                      <w:b w:val="0"/>
                      <w:szCs w:val="18"/>
                    </w:rPr>
                  </w:pPr>
                  <w:r>
                    <w:rPr>
                      <w:rFonts w:ascii="Times New Roman" w:hAnsi="Times New Roman"/>
                      <w:szCs w:val="18"/>
                    </w:rPr>
                    <w:t>Criticality</w:t>
                  </w:r>
                </w:p>
              </w:tc>
              <w:tc>
                <w:tcPr>
                  <w:tcW w:w="1004" w:type="dxa"/>
                </w:tcPr>
                <w:p>
                  <w:pPr>
                    <w:pStyle w:val="59"/>
                    <w:snapToGrid w:val="0"/>
                    <w:rPr>
                      <w:rFonts w:ascii="Times New Roman" w:hAnsi="Times New Roman"/>
                      <w:b w:val="0"/>
                      <w:szCs w:val="18"/>
                    </w:rPr>
                  </w:pPr>
                  <w:r>
                    <w:rPr>
                      <w:rFonts w:ascii="Times New Roman" w:hAnsi="Times New Roman"/>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621" w:type="dxa"/>
                </w:tcPr>
                <w:p>
                  <w:pPr>
                    <w:pStyle w:val="61"/>
                    <w:snapToGrid w:val="0"/>
                    <w:spacing w:line="240" w:lineRule="auto"/>
                    <w:rPr>
                      <w:rFonts w:ascii="Times New Roman" w:hAnsi="Times New Roman"/>
                      <w:szCs w:val="18"/>
                    </w:rPr>
                  </w:pPr>
                  <w:r>
                    <w:rPr>
                      <w:rFonts w:ascii="Times New Roman" w:hAnsi="Times New Roman"/>
                      <w:szCs w:val="18"/>
                    </w:rPr>
                    <w:t>Message Type</w:t>
                  </w:r>
                </w:p>
              </w:tc>
              <w:tc>
                <w:tcPr>
                  <w:tcW w:w="970" w:type="dxa"/>
                </w:tcPr>
                <w:p>
                  <w:pPr>
                    <w:pStyle w:val="61"/>
                    <w:snapToGrid w:val="0"/>
                    <w:spacing w:line="240" w:lineRule="auto"/>
                    <w:rPr>
                      <w:rFonts w:ascii="Times New Roman" w:hAnsi="Times New Roman"/>
                      <w:szCs w:val="18"/>
                    </w:rPr>
                  </w:pPr>
                  <w:r>
                    <w:rPr>
                      <w:rFonts w:ascii="Times New Roman" w:hAnsi="Times New Roman"/>
                      <w:szCs w:val="18"/>
                    </w:rPr>
                    <w:t>M</w:t>
                  </w:r>
                </w:p>
              </w:tc>
              <w:tc>
                <w:tcPr>
                  <w:tcW w:w="2088" w:type="dxa"/>
                </w:tcPr>
                <w:p>
                  <w:pPr>
                    <w:pStyle w:val="61"/>
                    <w:snapToGrid w:val="0"/>
                    <w:spacing w:line="240" w:lineRule="auto"/>
                    <w:rPr>
                      <w:rFonts w:ascii="Times New Roman" w:hAnsi="Times New Roman"/>
                      <w:szCs w:val="18"/>
                    </w:rPr>
                  </w:pPr>
                </w:p>
              </w:tc>
              <w:tc>
                <w:tcPr>
                  <w:tcW w:w="1284" w:type="dxa"/>
                </w:tcPr>
                <w:p>
                  <w:pPr>
                    <w:pStyle w:val="61"/>
                    <w:snapToGrid w:val="0"/>
                    <w:spacing w:line="240" w:lineRule="auto"/>
                    <w:rPr>
                      <w:rFonts w:ascii="Times New Roman" w:hAnsi="Times New Roman"/>
                      <w:szCs w:val="18"/>
                    </w:rPr>
                  </w:pPr>
                  <w:r>
                    <w:rPr>
                      <w:rFonts w:ascii="Times New Roman" w:hAnsi="Times New Roman"/>
                      <w:szCs w:val="18"/>
                    </w:rPr>
                    <w:t>9.2.3</w:t>
                  </w:r>
                </w:p>
              </w:tc>
              <w:tc>
                <w:tcPr>
                  <w:tcW w:w="1227" w:type="dxa"/>
                </w:tcPr>
                <w:p>
                  <w:pPr>
                    <w:pStyle w:val="61"/>
                    <w:snapToGrid w:val="0"/>
                    <w:spacing w:line="240" w:lineRule="auto"/>
                    <w:rPr>
                      <w:rFonts w:ascii="Times New Roman" w:hAnsi="Times New Roman"/>
                      <w:szCs w:val="18"/>
                    </w:rPr>
                  </w:pPr>
                </w:p>
              </w:tc>
              <w:tc>
                <w:tcPr>
                  <w:tcW w:w="1004" w:type="dxa"/>
                </w:tcPr>
                <w:p>
                  <w:pPr>
                    <w:pStyle w:val="60"/>
                    <w:snapToGrid w:val="0"/>
                    <w:rPr>
                      <w:rFonts w:ascii="Times New Roman" w:hAnsi="Times New Roman"/>
                      <w:szCs w:val="18"/>
                    </w:rPr>
                  </w:pPr>
                  <w:r>
                    <w:rPr>
                      <w:rFonts w:ascii="Times New Roman" w:hAnsi="Times New Roman"/>
                      <w:szCs w:val="18"/>
                    </w:rPr>
                    <w:t>YES</w:t>
                  </w:r>
                </w:p>
              </w:tc>
              <w:tc>
                <w:tcPr>
                  <w:tcW w:w="1004" w:type="dxa"/>
                </w:tcPr>
                <w:p>
                  <w:pPr>
                    <w:pStyle w:val="60"/>
                    <w:snapToGrid w:val="0"/>
                    <w:rPr>
                      <w:rFonts w:ascii="Times New Roman" w:hAnsi="Times New Roman"/>
                      <w:szCs w:val="18"/>
                    </w:rPr>
                  </w:pPr>
                  <w:r>
                    <w:rPr>
                      <w:rFonts w:ascii="Times New Roman" w:hAnsi="Times New Roman"/>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621" w:type="dxa"/>
                </w:tcPr>
                <w:p>
                  <w:pPr>
                    <w:pStyle w:val="61"/>
                    <w:snapToGrid w:val="0"/>
                    <w:spacing w:line="240" w:lineRule="auto"/>
                    <w:rPr>
                      <w:rFonts w:ascii="Times New Roman" w:hAnsi="Times New Roman"/>
                      <w:szCs w:val="18"/>
                    </w:rPr>
                  </w:pPr>
                  <w:r>
                    <w:rPr>
                      <w:rFonts w:ascii="Times New Roman" w:hAnsi="Times New Roman"/>
                      <w:szCs w:val="18"/>
                    </w:rPr>
                    <w:t>NRPPa Transaction ID</w:t>
                  </w:r>
                </w:p>
              </w:tc>
              <w:tc>
                <w:tcPr>
                  <w:tcW w:w="970" w:type="dxa"/>
                </w:tcPr>
                <w:p>
                  <w:pPr>
                    <w:pStyle w:val="61"/>
                    <w:snapToGrid w:val="0"/>
                    <w:spacing w:line="240" w:lineRule="auto"/>
                    <w:rPr>
                      <w:rFonts w:ascii="Times New Roman" w:hAnsi="Times New Roman"/>
                      <w:szCs w:val="18"/>
                    </w:rPr>
                  </w:pPr>
                  <w:r>
                    <w:rPr>
                      <w:rFonts w:ascii="Times New Roman" w:hAnsi="Times New Roman"/>
                      <w:szCs w:val="18"/>
                    </w:rPr>
                    <w:t>M</w:t>
                  </w:r>
                </w:p>
              </w:tc>
              <w:tc>
                <w:tcPr>
                  <w:tcW w:w="2088" w:type="dxa"/>
                </w:tcPr>
                <w:p>
                  <w:pPr>
                    <w:pStyle w:val="61"/>
                    <w:snapToGrid w:val="0"/>
                    <w:spacing w:line="240" w:lineRule="auto"/>
                    <w:rPr>
                      <w:rFonts w:ascii="Times New Roman" w:hAnsi="Times New Roman"/>
                      <w:szCs w:val="18"/>
                    </w:rPr>
                  </w:pPr>
                </w:p>
              </w:tc>
              <w:tc>
                <w:tcPr>
                  <w:tcW w:w="1284" w:type="dxa"/>
                </w:tcPr>
                <w:p>
                  <w:pPr>
                    <w:pStyle w:val="61"/>
                    <w:snapToGrid w:val="0"/>
                    <w:spacing w:line="240" w:lineRule="auto"/>
                    <w:rPr>
                      <w:rFonts w:ascii="Times New Roman" w:hAnsi="Times New Roman"/>
                      <w:szCs w:val="18"/>
                    </w:rPr>
                  </w:pPr>
                  <w:r>
                    <w:rPr>
                      <w:rFonts w:ascii="Times New Roman" w:hAnsi="Times New Roman"/>
                      <w:szCs w:val="18"/>
                    </w:rPr>
                    <w:t>9.2.4</w:t>
                  </w:r>
                </w:p>
              </w:tc>
              <w:tc>
                <w:tcPr>
                  <w:tcW w:w="1227" w:type="dxa"/>
                </w:tcPr>
                <w:p>
                  <w:pPr>
                    <w:pStyle w:val="61"/>
                    <w:snapToGrid w:val="0"/>
                    <w:spacing w:line="240" w:lineRule="auto"/>
                    <w:rPr>
                      <w:rFonts w:ascii="Times New Roman" w:hAnsi="Times New Roman"/>
                      <w:szCs w:val="18"/>
                    </w:rPr>
                  </w:pPr>
                </w:p>
              </w:tc>
              <w:tc>
                <w:tcPr>
                  <w:tcW w:w="1004" w:type="dxa"/>
                </w:tcPr>
                <w:p>
                  <w:pPr>
                    <w:pStyle w:val="60"/>
                    <w:snapToGrid w:val="0"/>
                    <w:rPr>
                      <w:rFonts w:ascii="Times New Roman" w:hAnsi="Times New Roman"/>
                      <w:szCs w:val="18"/>
                    </w:rPr>
                  </w:pPr>
                  <w:r>
                    <w:rPr>
                      <w:rFonts w:ascii="Times New Roman" w:hAnsi="Times New Roman"/>
                      <w:szCs w:val="18"/>
                    </w:rPr>
                    <w:t>-</w:t>
                  </w:r>
                </w:p>
              </w:tc>
              <w:tc>
                <w:tcPr>
                  <w:tcW w:w="1004" w:type="dxa"/>
                </w:tcPr>
                <w:p>
                  <w:pPr>
                    <w:pStyle w:val="6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621" w:type="dxa"/>
                </w:tcPr>
                <w:p>
                  <w:pPr>
                    <w:pStyle w:val="61"/>
                    <w:snapToGrid w:val="0"/>
                    <w:spacing w:line="240" w:lineRule="auto"/>
                    <w:rPr>
                      <w:rFonts w:ascii="Times New Roman" w:hAnsi="Times New Roman"/>
                      <w:szCs w:val="18"/>
                    </w:rPr>
                  </w:pPr>
                  <w:r>
                    <w:rPr>
                      <w:rFonts w:ascii="Times New Roman" w:hAnsi="Times New Roman"/>
                      <w:szCs w:val="18"/>
                    </w:rPr>
                    <w:t>LMF Measurement ID</w:t>
                  </w:r>
                </w:p>
              </w:tc>
              <w:tc>
                <w:tcPr>
                  <w:tcW w:w="970" w:type="dxa"/>
                </w:tcPr>
                <w:p>
                  <w:pPr>
                    <w:pStyle w:val="61"/>
                    <w:snapToGrid w:val="0"/>
                    <w:spacing w:line="240" w:lineRule="auto"/>
                    <w:rPr>
                      <w:rFonts w:ascii="Times New Roman" w:hAnsi="Times New Roman"/>
                      <w:szCs w:val="18"/>
                    </w:rPr>
                  </w:pPr>
                  <w:r>
                    <w:rPr>
                      <w:rFonts w:ascii="Times New Roman" w:hAnsi="Times New Roman"/>
                      <w:szCs w:val="18"/>
                    </w:rPr>
                    <w:t>M</w:t>
                  </w:r>
                </w:p>
              </w:tc>
              <w:tc>
                <w:tcPr>
                  <w:tcW w:w="2088" w:type="dxa"/>
                </w:tcPr>
                <w:p>
                  <w:pPr>
                    <w:pStyle w:val="61"/>
                    <w:snapToGrid w:val="0"/>
                    <w:spacing w:line="240" w:lineRule="auto"/>
                    <w:rPr>
                      <w:rFonts w:ascii="Times New Roman" w:hAnsi="Times New Roman"/>
                      <w:szCs w:val="18"/>
                    </w:rPr>
                  </w:pPr>
                </w:p>
              </w:tc>
              <w:tc>
                <w:tcPr>
                  <w:tcW w:w="1284" w:type="dxa"/>
                </w:tcPr>
                <w:p>
                  <w:pPr>
                    <w:pStyle w:val="61"/>
                    <w:snapToGrid w:val="0"/>
                    <w:spacing w:line="240" w:lineRule="auto"/>
                    <w:rPr>
                      <w:rFonts w:ascii="Times New Roman" w:hAnsi="Times New Roman"/>
                      <w:szCs w:val="18"/>
                    </w:rPr>
                  </w:pPr>
                  <w:r>
                    <w:rPr>
                      <w:rFonts w:ascii="Times New Roman" w:hAnsi="Times New Roman"/>
                      <w:szCs w:val="18"/>
                    </w:rPr>
                    <w:t xml:space="preserve">INTEGER (1..65536, …) </w:t>
                  </w:r>
                </w:p>
              </w:tc>
              <w:tc>
                <w:tcPr>
                  <w:tcW w:w="1227" w:type="dxa"/>
                </w:tcPr>
                <w:p>
                  <w:pPr>
                    <w:pStyle w:val="61"/>
                    <w:snapToGrid w:val="0"/>
                    <w:spacing w:line="240" w:lineRule="auto"/>
                    <w:rPr>
                      <w:rFonts w:ascii="Times New Roman" w:hAnsi="Times New Roman"/>
                      <w:szCs w:val="18"/>
                    </w:rPr>
                  </w:pPr>
                </w:p>
              </w:tc>
              <w:tc>
                <w:tcPr>
                  <w:tcW w:w="1004" w:type="dxa"/>
                </w:tcPr>
                <w:p>
                  <w:pPr>
                    <w:pStyle w:val="60"/>
                    <w:snapToGrid w:val="0"/>
                    <w:rPr>
                      <w:rFonts w:ascii="Times New Roman" w:hAnsi="Times New Roman"/>
                      <w:szCs w:val="18"/>
                    </w:rPr>
                  </w:pPr>
                  <w:r>
                    <w:rPr>
                      <w:rFonts w:ascii="Times New Roman" w:hAnsi="Times New Roman"/>
                      <w:szCs w:val="18"/>
                    </w:rPr>
                    <w:t>YES</w:t>
                  </w:r>
                </w:p>
              </w:tc>
              <w:tc>
                <w:tcPr>
                  <w:tcW w:w="1004" w:type="dxa"/>
                </w:tcPr>
                <w:p>
                  <w:pPr>
                    <w:pStyle w:val="60"/>
                    <w:snapToGrid w:val="0"/>
                    <w:rPr>
                      <w:rFonts w:ascii="Times New Roman" w:hAnsi="Times New Roman"/>
                      <w:szCs w:val="18"/>
                    </w:rPr>
                  </w:pPr>
                  <w:r>
                    <w:rPr>
                      <w:rFonts w:ascii="Times New Roman" w:hAnsi="Times New Roman"/>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621" w:type="dxa"/>
                </w:tcPr>
                <w:p>
                  <w:pPr>
                    <w:pStyle w:val="61"/>
                    <w:snapToGrid w:val="0"/>
                    <w:spacing w:line="240" w:lineRule="auto"/>
                    <w:rPr>
                      <w:rFonts w:ascii="Times New Roman" w:hAnsi="Times New Roman"/>
                      <w:szCs w:val="18"/>
                    </w:rPr>
                  </w:pPr>
                  <w:r>
                    <w:rPr>
                      <w:rFonts w:ascii="Times New Roman" w:hAnsi="Times New Roman"/>
                      <w:szCs w:val="18"/>
                    </w:rPr>
                    <w:t>RAN Measurement ID</w:t>
                  </w:r>
                </w:p>
              </w:tc>
              <w:tc>
                <w:tcPr>
                  <w:tcW w:w="970" w:type="dxa"/>
                </w:tcPr>
                <w:p>
                  <w:pPr>
                    <w:pStyle w:val="61"/>
                    <w:snapToGrid w:val="0"/>
                    <w:spacing w:line="240" w:lineRule="auto"/>
                    <w:rPr>
                      <w:rFonts w:ascii="Times New Roman" w:hAnsi="Times New Roman"/>
                      <w:szCs w:val="18"/>
                    </w:rPr>
                  </w:pPr>
                  <w:r>
                    <w:rPr>
                      <w:rFonts w:ascii="Times New Roman" w:hAnsi="Times New Roman"/>
                      <w:szCs w:val="18"/>
                    </w:rPr>
                    <w:t>M</w:t>
                  </w:r>
                </w:p>
              </w:tc>
              <w:tc>
                <w:tcPr>
                  <w:tcW w:w="2088" w:type="dxa"/>
                </w:tcPr>
                <w:p>
                  <w:pPr>
                    <w:pStyle w:val="61"/>
                    <w:snapToGrid w:val="0"/>
                    <w:spacing w:line="240" w:lineRule="auto"/>
                    <w:rPr>
                      <w:rFonts w:ascii="Times New Roman" w:hAnsi="Times New Roman"/>
                      <w:szCs w:val="18"/>
                    </w:rPr>
                  </w:pPr>
                </w:p>
              </w:tc>
              <w:tc>
                <w:tcPr>
                  <w:tcW w:w="1284" w:type="dxa"/>
                </w:tcPr>
                <w:p>
                  <w:pPr>
                    <w:pStyle w:val="61"/>
                    <w:snapToGrid w:val="0"/>
                    <w:spacing w:line="240" w:lineRule="auto"/>
                    <w:rPr>
                      <w:rFonts w:ascii="Times New Roman" w:hAnsi="Times New Roman"/>
                      <w:szCs w:val="18"/>
                    </w:rPr>
                  </w:pPr>
                  <w:r>
                    <w:rPr>
                      <w:rFonts w:ascii="Times New Roman" w:hAnsi="Times New Roman"/>
                      <w:szCs w:val="18"/>
                    </w:rPr>
                    <w:t xml:space="preserve">INTEGER (1..65536, …) </w:t>
                  </w:r>
                </w:p>
              </w:tc>
              <w:tc>
                <w:tcPr>
                  <w:tcW w:w="1227" w:type="dxa"/>
                </w:tcPr>
                <w:p>
                  <w:pPr>
                    <w:pStyle w:val="61"/>
                    <w:snapToGrid w:val="0"/>
                    <w:spacing w:line="240" w:lineRule="auto"/>
                    <w:rPr>
                      <w:rFonts w:ascii="Times New Roman" w:hAnsi="Times New Roman"/>
                      <w:szCs w:val="18"/>
                    </w:rPr>
                  </w:pPr>
                </w:p>
              </w:tc>
              <w:tc>
                <w:tcPr>
                  <w:tcW w:w="1004" w:type="dxa"/>
                </w:tcPr>
                <w:p>
                  <w:pPr>
                    <w:pStyle w:val="60"/>
                    <w:snapToGrid w:val="0"/>
                    <w:rPr>
                      <w:rFonts w:ascii="Times New Roman" w:hAnsi="Times New Roman"/>
                      <w:szCs w:val="18"/>
                    </w:rPr>
                  </w:pPr>
                  <w:r>
                    <w:rPr>
                      <w:rFonts w:ascii="Times New Roman" w:hAnsi="Times New Roman"/>
                      <w:szCs w:val="18"/>
                    </w:rPr>
                    <w:t>YES</w:t>
                  </w:r>
                </w:p>
              </w:tc>
              <w:tc>
                <w:tcPr>
                  <w:tcW w:w="1004" w:type="dxa"/>
                </w:tcPr>
                <w:p>
                  <w:pPr>
                    <w:pStyle w:val="60"/>
                    <w:snapToGrid w:val="0"/>
                    <w:rPr>
                      <w:rFonts w:ascii="Times New Roman" w:hAnsi="Times New Roman"/>
                      <w:szCs w:val="18"/>
                    </w:rPr>
                  </w:pPr>
                  <w:r>
                    <w:rPr>
                      <w:rFonts w:ascii="Times New Roman" w:hAnsi="Times New Roman"/>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621" w:type="dxa"/>
                </w:tcPr>
                <w:p>
                  <w:pPr>
                    <w:pStyle w:val="61"/>
                    <w:snapToGrid w:val="0"/>
                    <w:spacing w:line="240" w:lineRule="auto"/>
                    <w:rPr>
                      <w:rFonts w:ascii="Times New Roman" w:hAnsi="Times New Roman"/>
                      <w:b/>
                      <w:szCs w:val="18"/>
                    </w:rPr>
                  </w:pPr>
                  <w:r>
                    <w:rPr>
                      <w:rFonts w:ascii="Times New Roman" w:hAnsi="Times New Roman"/>
                      <w:b/>
                      <w:szCs w:val="18"/>
                    </w:rPr>
                    <w:t>TRP Measurement Response List</w:t>
                  </w:r>
                </w:p>
              </w:tc>
              <w:tc>
                <w:tcPr>
                  <w:tcW w:w="970" w:type="dxa"/>
                </w:tcPr>
                <w:p>
                  <w:pPr>
                    <w:pStyle w:val="61"/>
                    <w:snapToGrid w:val="0"/>
                    <w:spacing w:line="240" w:lineRule="auto"/>
                    <w:rPr>
                      <w:rFonts w:ascii="Times New Roman" w:hAnsi="Times New Roman"/>
                      <w:szCs w:val="18"/>
                    </w:rPr>
                  </w:pPr>
                </w:p>
              </w:tc>
              <w:tc>
                <w:tcPr>
                  <w:tcW w:w="2088" w:type="dxa"/>
                </w:tcPr>
                <w:p>
                  <w:pPr>
                    <w:pStyle w:val="61"/>
                    <w:snapToGrid w:val="0"/>
                    <w:spacing w:line="240" w:lineRule="auto"/>
                    <w:rPr>
                      <w:rFonts w:ascii="Times New Roman" w:hAnsi="Times New Roman"/>
                      <w:szCs w:val="18"/>
                    </w:rPr>
                  </w:pPr>
                  <w:r>
                    <w:rPr>
                      <w:rFonts w:ascii="Times New Roman" w:hAnsi="Times New Roman"/>
                      <w:i/>
                      <w:iCs/>
                      <w:szCs w:val="18"/>
                    </w:rPr>
                    <w:t>1</w:t>
                  </w:r>
                </w:p>
              </w:tc>
              <w:tc>
                <w:tcPr>
                  <w:tcW w:w="1284" w:type="dxa"/>
                </w:tcPr>
                <w:p>
                  <w:pPr>
                    <w:pStyle w:val="61"/>
                    <w:snapToGrid w:val="0"/>
                    <w:spacing w:line="240" w:lineRule="auto"/>
                    <w:rPr>
                      <w:rFonts w:ascii="Times New Roman" w:hAnsi="Times New Roman"/>
                      <w:szCs w:val="18"/>
                    </w:rPr>
                  </w:pPr>
                </w:p>
              </w:tc>
              <w:tc>
                <w:tcPr>
                  <w:tcW w:w="1227" w:type="dxa"/>
                </w:tcPr>
                <w:p>
                  <w:pPr>
                    <w:pStyle w:val="61"/>
                    <w:snapToGrid w:val="0"/>
                    <w:spacing w:line="240" w:lineRule="auto"/>
                    <w:rPr>
                      <w:rFonts w:ascii="Times New Roman" w:hAnsi="Times New Roman"/>
                      <w:szCs w:val="18"/>
                    </w:rPr>
                  </w:pPr>
                </w:p>
              </w:tc>
              <w:tc>
                <w:tcPr>
                  <w:tcW w:w="1004" w:type="dxa"/>
                </w:tcPr>
                <w:p>
                  <w:pPr>
                    <w:pStyle w:val="60"/>
                    <w:snapToGrid w:val="0"/>
                    <w:rPr>
                      <w:rFonts w:ascii="Times New Roman" w:hAnsi="Times New Roman"/>
                      <w:szCs w:val="18"/>
                    </w:rPr>
                  </w:pPr>
                  <w:r>
                    <w:rPr>
                      <w:rFonts w:ascii="Times New Roman" w:hAnsi="Times New Roman"/>
                      <w:szCs w:val="18"/>
                    </w:rPr>
                    <w:t>YES</w:t>
                  </w:r>
                </w:p>
              </w:tc>
              <w:tc>
                <w:tcPr>
                  <w:tcW w:w="1004" w:type="dxa"/>
                </w:tcPr>
                <w:p>
                  <w:pPr>
                    <w:pStyle w:val="60"/>
                    <w:snapToGrid w:val="0"/>
                    <w:rPr>
                      <w:rFonts w:ascii="Times New Roman" w:hAnsi="Times New Roman"/>
                      <w:szCs w:val="18"/>
                    </w:rPr>
                  </w:pPr>
                  <w:r>
                    <w:rPr>
                      <w:rFonts w:ascii="Times New Roman" w:hAnsi="Times New Roman"/>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621" w:type="dxa"/>
                </w:tcPr>
                <w:p>
                  <w:pPr>
                    <w:pStyle w:val="61"/>
                    <w:snapToGrid w:val="0"/>
                    <w:spacing w:line="240" w:lineRule="auto"/>
                    <w:ind w:left="142"/>
                    <w:rPr>
                      <w:rFonts w:ascii="Times New Roman" w:hAnsi="Times New Roman"/>
                      <w:b/>
                      <w:bCs/>
                      <w:szCs w:val="18"/>
                    </w:rPr>
                  </w:pPr>
                  <w:r>
                    <w:rPr>
                      <w:rFonts w:ascii="Times New Roman" w:hAnsi="Times New Roman"/>
                      <w:b/>
                      <w:bCs/>
                      <w:szCs w:val="18"/>
                    </w:rPr>
                    <w:t>&gt;TRP Measurement Response Item</w:t>
                  </w:r>
                </w:p>
              </w:tc>
              <w:tc>
                <w:tcPr>
                  <w:tcW w:w="970" w:type="dxa"/>
                </w:tcPr>
                <w:p>
                  <w:pPr>
                    <w:pStyle w:val="61"/>
                    <w:snapToGrid w:val="0"/>
                    <w:spacing w:line="240" w:lineRule="auto"/>
                    <w:rPr>
                      <w:rFonts w:ascii="Times New Roman" w:hAnsi="Times New Roman"/>
                      <w:bCs/>
                      <w:szCs w:val="18"/>
                    </w:rPr>
                  </w:pPr>
                </w:p>
              </w:tc>
              <w:tc>
                <w:tcPr>
                  <w:tcW w:w="2088" w:type="dxa"/>
                </w:tcPr>
                <w:p>
                  <w:pPr>
                    <w:pStyle w:val="61"/>
                    <w:snapToGrid w:val="0"/>
                    <w:spacing w:line="240" w:lineRule="auto"/>
                    <w:rPr>
                      <w:rFonts w:ascii="Times New Roman" w:hAnsi="Times New Roman"/>
                      <w:szCs w:val="18"/>
                    </w:rPr>
                  </w:pPr>
                  <w:r>
                    <w:rPr>
                      <w:rFonts w:ascii="Times New Roman" w:hAnsi="Times New Roman"/>
                      <w:i/>
                      <w:iCs/>
                      <w:szCs w:val="18"/>
                    </w:rPr>
                    <w:t>1..&lt;maxnoofMeasTRPs&gt;</w:t>
                  </w:r>
                </w:p>
              </w:tc>
              <w:tc>
                <w:tcPr>
                  <w:tcW w:w="1284" w:type="dxa"/>
                </w:tcPr>
                <w:p>
                  <w:pPr>
                    <w:pStyle w:val="61"/>
                    <w:snapToGrid w:val="0"/>
                    <w:spacing w:line="240" w:lineRule="auto"/>
                    <w:rPr>
                      <w:rFonts w:ascii="Times New Roman" w:hAnsi="Times New Roman"/>
                      <w:szCs w:val="18"/>
                    </w:rPr>
                  </w:pPr>
                </w:p>
              </w:tc>
              <w:tc>
                <w:tcPr>
                  <w:tcW w:w="1227" w:type="dxa"/>
                </w:tcPr>
                <w:p>
                  <w:pPr>
                    <w:pStyle w:val="61"/>
                    <w:snapToGrid w:val="0"/>
                    <w:spacing w:line="240" w:lineRule="auto"/>
                    <w:rPr>
                      <w:rFonts w:ascii="Times New Roman" w:hAnsi="Times New Roman"/>
                      <w:szCs w:val="18"/>
                    </w:rPr>
                  </w:pPr>
                </w:p>
              </w:tc>
              <w:tc>
                <w:tcPr>
                  <w:tcW w:w="1004" w:type="dxa"/>
                </w:tcPr>
                <w:p>
                  <w:pPr>
                    <w:pStyle w:val="60"/>
                    <w:snapToGrid w:val="0"/>
                    <w:rPr>
                      <w:rFonts w:ascii="Times New Roman" w:hAnsi="Times New Roman"/>
                      <w:szCs w:val="18"/>
                    </w:rPr>
                  </w:pPr>
                  <w:r>
                    <w:rPr>
                      <w:rFonts w:ascii="Times New Roman" w:hAnsi="Times New Roman"/>
                      <w:szCs w:val="18"/>
                    </w:rPr>
                    <w:t>EACH</w:t>
                  </w:r>
                </w:p>
              </w:tc>
              <w:tc>
                <w:tcPr>
                  <w:tcW w:w="1004" w:type="dxa"/>
                </w:tcPr>
                <w:p>
                  <w:pPr>
                    <w:pStyle w:val="60"/>
                    <w:snapToGrid w:val="0"/>
                    <w:rPr>
                      <w:rFonts w:ascii="Times New Roman" w:hAnsi="Times New Roman"/>
                      <w:szCs w:val="18"/>
                    </w:rPr>
                  </w:pPr>
                  <w:r>
                    <w:rPr>
                      <w:rFonts w:ascii="Times New Roman" w:hAnsi="Times New Roman"/>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8" w:hRule="atLeast"/>
              </w:trPr>
              <w:tc>
                <w:tcPr>
                  <w:tcW w:w="1621" w:type="dxa"/>
                </w:tcPr>
                <w:p>
                  <w:pPr>
                    <w:pStyle w:val="61"/>
                    <w:snapToGrid w:val="0"/>
                    <w:spacing w:line="240" w:lineRule="auto"/>
                    <w:ind w:left="283"/>
                    <w:rPr>
                      <w:rFonts w:ascii="Times New Roman" w:hAnsi="Times New Roman"/>
                      <w:szCs w:val="18"/>
                    </w:rPr>
                  </w:pPr>
                  <w:r>
                    <w:rPr>
                      <w:rFonts w:ascii="Times New Roman" w:hAnsi="Times New Roman"/>
                      <w:szCs w:val="18"/>
                    </w:rPr>
                    <w:t>&gt;&gt;TRP ID</w:t>
                  </w:r>
                </w:p>
              </w:tc>
              <w:tc>
                <w:tcPr>
                  <w:tcW w:w="970" w:type="dxa"/>
                </w:tcPr>
                <w:p>
                  <w:pPr>
                    <w:pStyle w:val="61"/>
                    <w:snapToGrid w:val="0"/>
                    <w:spacing w:line="240" w:lineRule="auto"/>
                    <w:rPr>
                      <w:rFonts w:ascii="Times New Roman" w:hAnsi="Times New Roman"/>
                      <w:bCs/>
                      <w:szCs w:val="18"/>
                    </w:rPr>
                  </w:pPr>
                  <w:r>
                    <w:rPr>
                      <w:rFonts w:ascii="Times New Roman" w:hAnsi="Times New Roman"/>
                      <w:bCs/>
                      <w:szCs w:val="18"/>
                    </w:rPr>
                    <w:t>M</w:t>
                  </w:r>
                </w:p>
              </w:tc>
              <w:tc>
                <w:tcPr>
                  <w:tcW w:w="2088" w:type="dxa"/>
                </w:tcPr>
                <w:p>
                  <w:pPr>
                    <w:pStyle w:val="61"/>
                    <w:snapToGrid w:val="0"/>
                    <w:spacing w:line="240" w:lineRule="auto"/>
                    <w:rPr>
                      <w:rFonts w:ascii="Times New Roman" w:hAnsi="Times New Roman"/>
                      <w:szCs w:val="18"/>
                    </w:rPr>
                  </w:pPr>
                </w:p>
              </w:tc>
              <w:tc>
                <w:tcPr>
                  <w:tcW w:w="1284" w:type="dxa"/>
                </w:tcPr>
                <w:p>
                  <w:pPr>
                    <w:pStyle w:val="61"/>
                    <w:snapToGrid w:val="0"/>
                    <w:spacing w:line="240" w:lineRule="auto"/>
                    <w:rPr>
                      <w:rFonts w:ascii="Times New Roman" w:hAnsi="Times New Roman"/>
                      <w:szCs w:val="18"/>
                    </w:rPr>
                  </w:pPr>
                  <w:r>
                    <w:rPr>
                      <w:rFonts w:ascii="Times New Roman" w:hAnsi="Times New Roman"/>
                      <w:szCs w:val="18"/>
                    </w:rPr>
                    <w:t>9.2.24</w:t>
                  </w:r>
                </w:p>
              </w:tc>
              <w:tc>
                <w:tcPr>
                  <w:tcW w:w="1227" w:type="dxa"/>
                </w:tcPr>
                <w:p>
                  <w:pPr>
                    <w:pStyle w:val="61"/>
                    <w:snapToGrid w:val="0"/>
                    <w:spacing w:line="240" w:lineRule="auto"/>
                    <w:rPr>
                      <w:rFonts w:ascii="Times New Roman" w:hAnsi="Times New Roman"/>
                      <w:szCs w:val="18"/>
                    </w:rPr>
                  </w:pPr>
                </w:p>
              </w:tc>
              <w:tc>
                <w:tcPr>
                  <w:tcW w:w="1004" w:type="dxa"/>
                </w:tcPr>
                <w:p>
                  <w:pPr>
                    <w:pStyle w:val="60"/>
                    <w:snapToGrid w:val="0"/>
                    <w:rPr>
                      <w:rFonts w:ascii="Times New Roman" w:hAnsi="Times New Roman"/>
                      <w:szCs w:val="18"/>
                    </w:rPr>
                  </w:pPr>
                  <w:r>
                    <w:rPr>
                      <w:rFonts w:ascii="Times New Roman" w:hAnsi="Times New Roman"/>
                      <w:szCs w:val="18"/>
                    </w:rPr>
                    <w:t>-</w:t>
                  </w:r>
                </w:p>
              </w:tc>
              <w:tc>
                <w:tcPr>
                  <w:tcW w:w="1004" w:type="dxa"/>
                </w:tcPr>
                <w:p>
                  <w:pPr>
                    <w:pStyle w:val="6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621" w:type="dxa"/>
                </w:tcPr>
                <w:p>
                  <w:pPr>
                    <w:pStyle w:val="61"/>
                    <w:snapToGrid w:val="0"/>
                    <w:spacing w:line="240" w:lineRule="auto"/>
                    <w:ind w:left="283"/>
                    <w:rPr>
                      <w:rFonts w:ascii="Times New Roman" w:hAnsi="Times New Roman"/>
                      <w:szCs w:val="18"/>
                      <w:highlight w:val="yellow"/>
                    </w:rPr>
                  </w:pPr>
                  <w:r>
                    <w:rPr>
                      <w:rFonts w:ascii="Times New Roman" w:hAnsi="Times New Roman"/>
                      <w:szCs w:val="18"/>
                      <w:highlight w:val="yellow"/>
                    </w:rPr>
                    <w:t>&gt;&gt;TRP Measurement Result</w:t>
                  </w:r>
                </w:p>
              </w:tc>
              <w:tc>
                <w:tcPr>
                  <w:tcW w:w="970" w:type="dxa"/>
                </w:tcPr>
                <w:p>
                  <w:pPr>
                    <w:pStyle w:val="61"/>
                    <w:snapToGrid w:val="0"/>
                    <w:spacing w:line="240" w:lineRule="auto"/>
                    <w:rPr>
                      <w:rFonts w:ascii="Times New Roman" w:hAnsi="Times New Roman"/>
                      <w:szCs w:val="18"/>
                      <w:highlight w:val="yellow"/>
                    </w:rPr>
                  </w:pPr>
                  <w:r>
                    <w:rPr>
                      <w:rFonts w:ascii="Times New Roman" w:hAnsi="Times New Roman"/>
                      <w:bCs/>
                      <w:szCs w:val="18"/>
                      <w:highlight w:val="yellow"/>
                    </w:rPr>
                    <w:t>M</w:t>
                  </w:r>
                </w:p>
              </w:tc>
              <w:tc>
                <w:tcPr>
                  <w:tcW w:w="2088" w:type="dxa"/>
                </w:tcPr>
                <w:p>
                  <w:pPr>
                    <w:pStyle w:val="61"/>
                    <w:snapToGrid w:val="0"/>
                    <w:spacing w:line="240" w:lineRule="auto"/>
                    <w:rPr>
                      <w:rFonts w:ascii="Times New Roman" w:hAnsi="Times New Roman"/>
                      <w:szCs w:val="18"/>
                      <w:highlight w:val="yellow"/>
                    </w:rPr>
                  </w:pPr>
                </w:p>
              </w:tc>
              <w:tc>
                <w:tcPr>
                  <w:tcW w:w="1284" w:type="dxa"/>
                </w:tcPr>
                <w:p>
                  <w:pPr>
                    <w:pStyle w:val="61"/>
                    <w:snapToGrid w:val="0"/>
                    <w:spacing w:line="240" w:lineRule="auto"/>
                    <w:rPr>
                      <w:rFonts w:ascii="Times New Roman" w:hAnsi="Times New Roman"/>
                      <w:szCs w:val="18"/>
                      <w:highlight w:val="yellow"/>
                    </w:rPr>
                  </w:pPr>
                  <w:r>
                    <w:rPr>
                      <w:rFonts w:ascii="Times New Roman" w:hAnsi="Times New Roman"/>
                      <w:szCs w:val="18"/>
                      <w:highlight w:val="yellow"/>
                    </w:rPr>
                    <w:t>9.2.37</w:t>
                  </w:r>
                </w:p>
              </w:tc>
              <w:tc>
                <w:tcPr>
                  <w:tcW w:w="1227" w:type="dxa"/>
                </w:tcPr>
                <w:p>
                  <w:pPr>
                    <w:pStyle w:val="61"/>
                    <w:snapToGrid w:val="0"/>
                    <w:spacing w:line="240" w:lineRule="auto"/>
                    <w:rPr>
                      <w:rFonts w:ascii="Times New Roman" w:hAnsi="Times New Roman"/>
                      <w:szCs w:val="18"/>
                      <w:highlight w:val="yellow"/>
                    </w:rPr>
                  </w:pPr>
                </w:p>
              </w:tc>
              <w:tc>
                <w:tcPr>
                  <w:tcW w:w="1004" w:type="dxa"/>
                </w:tcPr>
                <w:p>
                  <w:pPr>
                    <w:pStyle w:val="60"/>
                    <w:snapToGrid w:val="0"/>
                    <w:rPr>
                      <w:rFonts w:ascii="Times New Roman" w:hAnsi="Times New Roman"/>
                      <w:szCs w:val="18"/>
                      <w:highlight w:val="yellow"/>
                    </w:rPr>
                  </w:pPr>
                  <w:r>
                    <w:rPr>
                      <w:rFonts w:ascii="Times New Roman" w:hAnsi="Times New Roman"/>
                      <w:szCs w:val="18"/>
                      <w:highlight w:val="yellow"/>
                    </w:rPr>
                    <w:t>-</w:t>
                  </w:r>
                </w:p>
              </w:tc>
              <w:tc>
                <w:tcPr>
                  <w:tcW w:w="1004" w:type="dxa"/>
                </w:tcPr>
                <w:p>
                  <w:pPr>
                    <w:pStyle w:val="60"/>
                    <w:snapToGrid w:val="0"/>
                    <w:rPr>
                      <w:rFonts w:ascii="Times New Roman" w:hAnsi="Times New Roman"/>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5" w:hRule="atLeast"/>
              </w:trPr>
              <w:tc>
                <w:tcPr>
                  <w:tcW w:w="1621" w:type="dxa"/>
                </w:tcPr>
                <w:p>
                  <w:pPr>
                    <w:pStyle w:val="61"/>
                    <w:snapToGrid w:val="0"/>
                    <w:spacing w:line="240" w:lineRule="auto"/>
                    <w:ind w:left="283"/>
                    <w:rPr>
                      <w:rFonts w:ascii="Times New Roman" w:hAnsi="Times New Roman"/>
                      <w:szCs w:val="18"/>
                      <w:highlight w:val="yellow"/>
                    </w:rPr>
                  </w:pPr>
                  <w:r>
                    <w:rPr>
                      <w:rFonts w:ascii="Times New Roman" w:hAnsi="Times New Roman"/>
                      <w:szCs w:val="18"/>
                      <w:highlight w:val="yellow"/>
                    </w:rPr>
                    <w:t>&gt;&gt;Cell ID</w:t>
                  </w:r>
                </w:p>
              </w:tc>
              <w:tc>
                <w:tcPr>
                  <w:tcW w:w="970" w:type="dxa"/>
                </w:tcPr>
                <w:p>
                  <w:pPr>
                    <w:pStyle w:val="61"/>
                    <w:snapToGrid w:val="0"/>
                    <w:spacing w:line="240" w:lineRule="auto"/>
                    <w:rPr>
                      <w:rFonts w:ascii="Times New Roman" w:hAnsi="Times New Roman"/>
                      <w:bCs/>
                      <w:szCs w:val="18"/>
                      <w:highlight w:val="yellow"/>
                    </w:rPr>
                  </w:pPr>
                  <w:r>
                    <w:rPr>
                      <w:rFonts w:ascii="Times New Roman" w:hAnsi="Times New Roman"/>
                      <w:bCs/>
                      <w:szCs w:val="18"/>
                      <w:highlight w:val="yellow"/>
                    </w:rPr>
                    <w:t>O</w:t>
                  </w:r>
                </w:p>
              </w:tc>
              <w:tc>
                <w:tcPr>
                  <w:tcW w:w="2088" w:type="dxa"/>
                </w:tcPr>
                <w:p>
                  <w:pPr>
                    <w:pStyle w:val="61"/>
                    <w:snapToGrid w:val="0"/>
                    <w:spacing w:line="240" w:lineRule="auto"/>
                    <w:rPr>
                      <w:rFonts w:ascii="Times New Roman" w:hAnsi="Times New Roman"/>
                      <w:szCs w:val="18"/>
                      <w:highlight w:val="yellow"/>
                    </w:rPr>
                  </w:pPr>
                </w:p>
              </w:tc>
              <w:tc>
                <w:tcPr>
                  <w:tcW w:w="1284" w:type="dxa"/>
                </w:tcPr>
                <w:p>
                  <w:pPr>
                    <w:pStyle w:val="61"/>
                    <w:snapToGrid w:val="0"/>
                    <w:spacing w:line="240" w:lineRule="auto"/>
                    <w:rPr>
                      <w:rFonts w:ascii="Times New Roman" w:hAnsi="Times New Roman"/>
                      <w:szCs w:val="18"/>
                      <w:highlight w:val="yellow"/>
                    </w:rPr>
                  </w:pPr>
                  <w:r>
                    <w:rPr>
                      <w:rFonts w:ascii="Times New Roman" w:hAnsi="Times New Roman"/>
                      <w:szCs w:val="18"/>
                      <w:highlight w:val="yellow"/>
                    </w:rPr>
                    <w:t>NR CGI</w:t>
                  </w:r>
                </w:p>
                <w:p>
                  <w:pPr>
                    <w:pStyle w:val="61"/>
                    <w:snapToGrid w:val="0"/>
                    <w:spacing w:line="240" w:lineRule="auto"/>
                    <w:rPr>
                      <w:rFonts w:ascii="Times New Roman" w:hAnsi="Times New Roman"/>
                      <w:szCs w:val="18"/>
                      <w:highlight w:val="yellow"/>
                    </w:rPr>
                  </w:pPr>
                  <w:r>
                    <w:rPr>
                      <w:rFonts w:ascii="Times New Roman" w:hAnsi="Times New Roman"/>
                      <w:szCs w:val="18"/>
                      <w:highlight w:val="yellow"/>
                    </w:rPr>
                    <w:t>9.2.9</w:t>
                  </w:r>
                </w:p>
              </w:tc>
              <w:tc>
                <w:tcPr>
                  <w:tcW w:w="1227" w:type="dxa"/>
                </w:tcPr>
                <w:p>
                  <w:pPr>
                    <w:pStyle w:val="61"/>
                    <w:snapToGrid w:val="0"/>
                    <w:spacing w:line="240" w:lineRule="auto"/>
                    <w:rPr>
                      <w:rFonts w:ascii="Times New Roman" w:hAnsi="Times New Roman"/>
                      <w:szCs w:val="18"/>
                      <w:highlight w:val="yellow"/>
                    </w:rPr>
                  </w:pPr>
                  <w:r>
                    <w:rPr>
                      <w:rFonts w:ascii="Times New Roman" w:hAnsi="Times New Roman"/>
                      <w:szCs w:val="18"/>
                      <w:highlight w:val="yellow"/>
                    </w:rPr>
                    <w:t xml:space="preserve">The Cell ID of the TRP identified by the </w:t>
                  </w:r>
                  <w:r>
                    <w:rPr>
                      <w:rFonts w:ascii="Times New Roman" w:hAnsi="Times New Roman"/>
                      <w:i/>
                      <w:szCs w:val="18"/>
                      <w:highlight w:val="yellow"/>
                    </w:rPr>
                    <w:t xml:space="preserve">TRP ID </w:t>
                  </w:r>
                  <w:r>
                    <w:rPr>
                      <w:rFonts w:ascii="Times New Roman" w:hAnsi="Times New Roman"/>
                      <w:szCs w:val="18"/>
                      <w:highlight w:val="yellow"/>
                    </w:rPr>
                    <w:t>IE.</w:t>
                  </w:r>
                </w:p>
              </w:tc>
              <w:tc>
                <w:tcPr>
                  <w:tcW w:w="1004" w:type="dxa"/>
                </w:tcPr>
                <w:p>
                  <w:pPr>
                    <w:pStyle w:val="60"/>
                    <w:snapToGrid w:val="0"/>
                    <w:rPr>
                      <w:rFonts w:ascii="Times New Roman" w:hAnsi="Times New Roman"/>
                      <w:szCs w:val="18"/>
                      <w:highlight w:val="yellow"/>
                    </w:rPr>
                  </w:pPr>
                  <w:r>
                    <w:rPr>
                      <w:rFonts w:ascii="Times New Roman" w:hAnsi="Times New Roman"/>
                      <w:szCs w:val="18"/>
                      <w:highlight w:val="yellow"/>
                      <w:lang w:eastAsia="zh-CN"/>
                    </w:rPr>
                    <w:t>YES</w:t>
                  </w:r>
                </w:p>
              </w:tc>
              <w:tc>
                <w:tcPr>
                  <w:tcW w:w="1004" w:type="dxa"/>
                </w:tcPr>
                <w:p>
                  <w:pPr>
                    <w:pStyle w:val="60"/>
                    <w:snapToGrid w:val="0"/>
                    <w:rPr>
                      <w:rFonts w:ascii="Times New Roman" w:hAnsi="Times New Roman"/>
                      <w:szCs w:val="18"/>
                      <w:highlight w:val="yellow"/>
                    </w:rPr>
                  </w:pPr>
                  <w:r>
                    <w:rPr>
                      <w:rFonts w:ascii="Times New Roman" w:hAnsi="Times New Roman"/>
                      <w:szCs w:val="18"/>
                      <w:highlight w:val="yellow"/>
                      <w:lang w:eastAsia="zh-CN"/>
                    </w:rPr>
                    <w:t>ignore</w:t>
                  </w:r>
                </w:p>
              </w:tc>
            </w:tr>
          </w:tbl>
          <w:p>
            <w:pPr>
              <w:pStyle w:val="4"/>
              <w:widowControl/>
              <w:numPr>
                <w:ilvl w:val="2"/>
                <w:numId w:val="0"/>
              </w:numPr>
              <w:snapToGrid w:val="0"/>
              <w:spacing w:before="0" w:after="0" w:line="240" w:lineRule="auto"/>
              <w:rPr>
                <w:rFonts w:ascii="Times New Roman" w:hAnsi="Times New Roman" w:eastAsia="Times New Roman"/>
                <w:sz w:val="18"/>
                <w:szCs w:val="18"/>
                <w:lang w:val="en-US"/>
              </w:rPr>
            </w:pPr>
          </w:p>
          <w:p>
            <w:pPr>
              <w:pStyle w:val="4"/>
              <w:widowControl/>
              <w:numPr>
                <w:ilvl w:val="2"/>
                <w:numId w:val="0"/>
              </w:numPr>
              <w:snapToGrid w:val="0"/>
              <w:spacing w:before="0" w:after="0" w:line="240" w:lineRule="auto"/>
              <w:rPr>
                <w:rFonts w:ascii="Times New Roman" w:hAnsi="Times New Roman" w:eastAsia="Times New Roman"/>
                <w:sz w:val="18"/>
                <w:szCs w:val="18"/>
                <w:lang w:val="en-US"/>
              </w:rPr>
            </w:pPr>
          </w:p>
          <w:p>
            <w:pPr>
              <w:pStyle w:val="4"/>
              <w:widowControl/>
              <w:numPr>
                <w:ilvl w:val="2"/>
                <w:numId w:val="0"/>
              </w:numPr>
              <w:snapToGrid w:val="0"/>
              <w:spacing w:before="0" w:after="0" w:line="240" w:lineRule="auto"/>
              <w:rPr>
                <w:rFonts w:ascii="Times New Roman" w:hAnsi="Times New Roman" w:eastAsia="Times New Roman"/>
                <w:sz w:val="18"/>
                <w:szCs w:val="18"/>
                <w:lang w:val="en-US"/>
              </w:rPr>
            </w:pPr>
            <w:r>
              <w:rPr>
                <w:rFonts w:ascii="Times New Roman" w:hAnsi="Times New Roman" w:eastAsia="Times New Roman"/>
                <w:sz w:val="18"/>
                <w:szCs w:val="18"/>
                <w:lang w:val="en-US"/>
              </w:rPr>
              <w:t>9.2.37</w:t>
            </w:r>
            <w:r>
              <w:rPr>
                <w:rFonts w:ascii="Times New Roman" w:hAnsi="Times New Roman" w:eastAsia="Times New Roman"/>
                <w:sz w:val="18"/>
                <w:szCs w:val="18"/>
                <w:lang w:val="en-US"/>
              </w:rPr>
              <w:tab/>
            </w:r>
            <w:r>
              <w:rPr>
                <w:rFonts w:ascii="Times New Roman" w:hAnsi="Times New Roman" w:eastAsia="Times New Roman"/>
                <w:sz w:val="18"/>
                <w:szCs w:val="18"/>
                <w:lang w:val="en-US"/>
              </w:rPr>
              <w:t>TRP Measurement Result</w:t>
            </w:r>
          </w:p>
          <w:p>
            <w:pPr>
              <w:overflowPunct w:val="0"/>
              <w:autoSpaceDE w:val="0"/>
              <w:autoSpaceDN w:val="0"/>
              <w:adjustRightInd w:val="0"/>
              <w:snapToGrid w:val="0"/>
              <w:spacing w:after="0" w:line="240" w:lineRule="auto"/>
              <w:textAlignment w:val="baseline"/>
              <w:rPr>
                <w:rFonts w:ascii="Times New Roman" w:hAnsi="Times New Roman"/>
                <w:sz w:val="18"/>
                <w:szCs w:val="18"/>
              </w:rPr>
            </w:pPr>
            <w:r>
              <w:rPr>
                <w:rFonts w:ascii="Times New Roman" w:hAnsi="Times New Roman"/>
                <w:sz w:val="18"/>
                <w:szCs w:val="18"/>
                <w:lang w:bidi="ar"/>
              </w:rPr>
              <w:t>This information element contains the measurement result.</w:t>
            </w:r>
          </w:p>
          <w:tbl>
            <w:tblPr>
              <w:tblStyle w:val="27"/>
              <w:tblW w:w="9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0"/>
              <w:gridCol w:w="993"/>
              <w:gridCol w:w="1618"/>
              <w:gridCol w:w="1272"/>
              <w:gridCol w:w="1441"/>
              <w:gridCol w:w="1006"/>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b/>
                      <w:sz w:val="18"/>
                      <w:szCs w:val="18"/>
                    </w:rPr>
                  </w:pPr>
                  <w:r>
                    <w:rPr>
                      <w:rFonts w:ascii="Times New Roman" w:hAnsi="Times New Roman" w:eastAsia="Times New Roman" w:cs="Times New Roman"/>
                      <w:b/>
                      <w:sz w:val="18"/>
                      <w:szCs w:val="18"/>
                      <w:lang w:bidi="ar"/>
                    </w:rPr>
                    <w:t>IE/Group Name</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b/>
                      <w:sz w:val="18"/>
                      <w:szCs w:val="18"/>
                    </w:rPr>
                  </w:pPr>
                  <w:r>
                    <w:rPr>
                      <w:rFonts w:ascii="Times New Roman" w:hAnsi="Times New Roman" w:eastAsia="Times New Roman" w:cs="Times New Roman"/>
                      <w:b/>
                      <w:sz w:val="18"/>
                      <w:szCs w:val="18"/>
                      <w:lang w:bidi="ar"/>
                    </w:rPr>
                    <w:t>Presence</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b/>
                      <w:sz w:val="18"/>
                      <w:szCs w:val="18"/>
                    </w:rPr>
                  </w:pPr>
                  <w:r>
                    <w:rPr>
                      <w:rFonts w:ascii="Times New Roman" w:hAnsi="Times New Roman" w:eastAsia="Times New Roman" w:cs="Times New Roman"/>
                      <w:b/>
                      <w:sz w:val="18"/>
                      <w:szCs w:val="18"/>
                      <w:lang w:bidi="ar"/>
                    </w:rPr>
                    <w:t>Range</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b/>
                      <w:sz w:val="18"/>
                      <w:szCs w:val="18"/>
                    </w:rPr>
                  </w:pPr>
                  <w:r>
                    <w:rPr>
                      <w:rFonts w:ascii="Times New Roman" w:hAnsi="Times New Roman" w:eastAsia="Times New Roman" w:cs="Times New Roman"/>
                      <w:b/>
                      <w:sz w:val="18"/>
                      <w:szCs w:val="18"/>
                      <w:lang w:bidi="ar"/>
                    </w:rPr>
                    <w:t>IE Type and Reference</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b/>
                      <w:sz w:val="18"/>
                      <w:szCs w:val="18"/>
                    </w:rPr>
                  </w:pPr>
                  <w:r>
                    <w:rPr>
                      <w:rFonts w:ascii="Times New Roman" w:hAnsi="Times New Roman" w:eastAsia="Times New Roman" w:cs="Times New Roman"/>
                      <w:b/>
                      <w:sz w:val="18"/>
                      <w:szCs w:val="18"/>
                      <w:lang w:bidi="ar"/>
                    </w:rPr>
                    <w:t>Semantics Description</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b/>
                      <w:sz w:val="18"/>
                      <w:szCs w:val="18"/>
                    </w:rPr>
                  </w:pPr>
                  <w:r>
                    <w:rPr>
                      <w:rFonts w:ascii="Times New Roman" w:hAnsi="Times New Roman" w:eastAsia="Times New Roman" w:cs="Times New Roman"/>
                      <w:b/>
                      <w:sz w:val="18"/>
                      <w:szCs w:val="18"/>
                      <w:lang w:bidi="ar"/>
                    </w:rPr>
                    <w:t>Criticality</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b/>
                      <w:sz w:val="18"/>
                      <w:szCs w:val="18"/>
                    </w:rPr>
                  </w:pPr>
                  <w:r>
                    <w:rPr>
                      <w:rFonts w:ascii="Times New Roman" w:hAnsi="Times New Roman" w:eastAsia="Times New Roman" w:cs="Times New Roman"/>
                      <w:b/>
                      <w:sz w:val="18"/>
                      <w:szCs w:val="18"/>
                      <w:lang w:bidi="a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
                      <w:bCs/>
                      <w:sz w:val="18"/>
                      <w:szCs w:val="18"/>
                    </w:rPr>
                  </w:pPr>
                  <w:r>
                    <w:rPr>
                      <w:rFonts w:ascii="Times New Roman" w:hAnsi="Times New Roman" w:eastAsia="Times New Roman" w:cs="Times New Roman"/>
                      <w:b/>
                      <w:bCs/>
                      <w:sz w:val="18"/>
                      <w:szCs w:val="18"/>
                      <w:lang w:bidi="ar"/>
                    </w:rPr>
                    <w:t>Measured Result Item</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i/>
                      <w:sz w:val="18"/>
                      <w:szCs w:val="18"/>
                    </w:rPr>
                  </w:pPr>
                  <w:r>
                    <w:rPr>
                      <w:rFonts w:ascii="Times New Roman" w:hAnsi="Times New Roman" w:eastAsia="Times New Roman" w:cs="Times New Roman"/>
                      <w:i/>
                      <w:sz w:val="18"/>
                      <w:szCs w:val="18"/>
                      <w:lang w:bidi="ar"/>
                    </w:rPr>
                    <w:t>1 .. &lt;maxnoPosMeas&gt;</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142"/>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 xml:space="preserve">&gt;CHOICE </w:t>
                  </w:r>
                  <w:r>
                    <w:rPr>
                      <w:rFonts w:ascii="Times New Roman" w:hAnsi="Times New Roman" w:eastAsia="Times New Roman" w:cs="Times New Roman"/>
                      <w:i/>
                      <w:sz w:val="18"/>
                      <w:szCs w:val="18"/>
                      <w:lang w:bidi="ar"/>
                    </w:rPr>
                    <w:t>Measured Results Value</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283"/>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&gt;&gt;UL Angle of Arrival</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9.2.38</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283"/>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&gt;&gt;UL SRS-RSRP</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INTEGER (0..126)</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283"/>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&gt;&gt;UL RTOA</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9.2.39</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283"/>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&gt;&gt;gNB Rx-Tx Time Difference</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9.2.40</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283"/>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&gt;&gt;Z-AoA</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9.2.67</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YES</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283"/>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&gt;&gt;Multiple UL-AoA</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9.2.71</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YES</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283"/>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&gt;&gt;UL SRS-RSRPP</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9.2.72</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YES</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142"/>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&gt;Time Stamp</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M</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9.2.42</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142"/>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&gt;Measurement Quality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O</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9.2.43</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142"/>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&gt;Measurement Beam Information</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O</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9.2.57</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142"/>
                    <w:textAlignment w:val="baseline"/>
                    <w:rPr>
                      <w:rFonts w:ascii="Times New Roman" w:hAnsi="Times New Roman" w:eastAsia="Times New Roman" w:cs="Times New Roman"/>
                      <w:sz w:val="18"/>
                      <w:szCs w:val="18"/>
                      <w:highlight w:val="yellow"/>
                    </w:rPr>
                  </w:pPr>
                  <w:r>
                    <w:rPr>
                      <w:rFonts w:ascii="Times New Roman" w:hAnsi="Times New Roman" w:eastAsia="Times New Roman" w:cs="Times New Roman"/>
                      <w:sz w:val="18"/>
                      <w:szCs w:val="18"/>
                      <w:highlight w:val="yellow"/>
                      <w:lang w:bidi="ar"/>
                    </w:rPr>
                    <w:t>&gt;SRS Resource type</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highlight w:val="yellow"/>
                    </w:rPr>
                  </w:pPr>
                  <w:r>
                    <w:rPr>
                      <w:rFonts w:ascii="Times New Roman" w:hAnsi="Times New Roman" w:eastAsia="Times New Roman" w:cs="Times New Roman"/>
                      <w:sz w:val="18"/>
                      <w:szCs w:val="18"/>
                      <w:highlight w:val="yellow"/>
                      <w:lang w:bidi="ar"/>
                    </w:rPr>
                    <w:t>O</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highlight w:val="yellow"/>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highlight w:val="yellow"/>
                    </w:rPr>
                  </w:pPr>
                  <w:r>
                    <w:rPr>
                      <w:rFonts w:ascii="Times New Roman" w:hAnsi="Times New Roman" w:eastAsia="Times New Roman" w:cs="Times New Roman"/>
                      <w:sz w:val="18"/>
                      <w:szCs w:val="18"/>
                      <w:highlight w:val="yellow"/>
                      <w:lang w:bidi="ar"/>
                    </w:rPr>
                    <w:t>9.2.73</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highlight w:val="yellow"/>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highlight w:val="yellow"/>
                    </w:rPr>
                  </w:pPr>
                  <w:r>
                    <w:rPr>
                      <w:rFonts w:ascii="Times New Roman" w:hAnsi="Times New Roman" w:eastAsia="Times New Roman" w:cs="Times New Roman"/>
                      <w:sz w:val="18"/>
                      <w:szCs w:val="18"/>
                      <w:highlight w:val="yellow"/>
                      <w:lang w:bidi="ar"/>
                    </w:rPr>
                    <w:t>YES</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highlight w:val="yellow"/>
                    </w:rPr>
                  </w:pPr>
                  <w:r>
                    <w:rPr>
                      <w:rFonts w:ascii="Times New Roman" w:hAnsi="Times New Roman" w:eastAsia="Times New Roman" w:cs="Times New Roman"/>
                      <w:sz w:val="18"/>
                      <w:szCs w:val="18"/>
                      <w:highlight w:val="yellow"/>
                      <w:lang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142"/>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&gt;ARP ID</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O</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9.2.75</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YES</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ind w:left="142"/>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&gt;LoS/NLoS Information</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O</w:t>
                  </w:r>
                </w:p>
              </w:tc>
              <w:tc>
                <w:tcPr>
                  <w:tcW w:w="1618"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p>
              </w:tc>
              <w:tc>
                <w:tcPr>
                  <w:tcW w:w="1272"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9.2.77</w:t>
                  </w:r>
                </w:p>
              </w:tc>
              <w:tc>
                <w:tcPr>
                  <w:tcW w:w="1441"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textAlignment w:val="baseline"/>
                    <w:rPr>
                      <w:rFonts w:ascii="Times New Roman" w:hAnsi="Times New Roman" w:eastAsia="Times New Roman" w:cs="Times New Roman"/>
                      <w:bCs/>
                      <w:sz w:val="18"/>
                      <w:szCs w:val="18"/>
                    </w:rPr>
                  </w:pP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YES</w:t>
                  </w:r>
                </w:p>
              </w:tc>
              <w:tc>
                <w:tcPr>
                  <w:tcW w:w="1006" w:type="dxa"/>
                  <w:tcBorders>
                    <w:top w:val="single" w:color="auto" w:sz="4" w:space="0"/>
                    <w:left w:val="single" w:color="auto" w:sz="4" w:space="0"/>
                    <w:bottom w:val="single" w:color="auto" w:sz="4" w:space="0"/>
                    <w:right w:val="single" w:color="auto" w:sz="4" w:space="0"/>
                  </w:tcBorders>
                  <w:shd w:val="clear" w:color="auto" w:fill="auto"/>
                </w:tcPr>
                <w:p>
                  <w:pPr>
                    <w:pStyle w:val="25"/>
                    <w:keepNext/>
                    <w:keepLines/>
                    <w:widowControl w:val="0"/>
                    <w:overflowPunct w:val="0"/>
                    <w:autoSpaceDE w:val="0"/>
                    <w:autoSpaceDN w:val="0"/>
                    <w:adjustRightInd w:val="0"/>
                    <w:snapToGrid w:val="0"/>
                    <w:jc w:val="center"/>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lang w:bidi="ar"/>
                    </w:rPr>
                    <w:t>ignore</w:t>
                  </w:r>
                </w:p>
              </w:tc>
            </w:tr>
          </w:tbl>
          <w:p>
            <w:pPr>
              <w:snapToGrid w:val="0"/>
              <w:spacing w:after="0" w:line="240" w:lineRule="auto"/>
              <w:jc w:val="both"/>
              <w:rPr>
                <w:rFonts w:ascii="Times New Roman" w:hAnsi="Times New Roman" w:eastAsia="宋体"/>
                <w:sz w:val="18"/>
                <w:szCs w:val="18"/>
              </w:rPr>
            </w:pPr>
          </w:p>
          <w:p>
            <w:pPr>
              <w:snapToGrid w:val="0"/>
              <w:spacing w:after="0" w:line="240" w:lineRule="auto"/>
              <w:jc w:val="both"/>
              <w:rPr>
                <w:rFonts w:ascii="Times New Roman" w:hAnsi="Times New Roman" w:eastAsia="宋体"/>
                <w:sz w:val="18"/>
                <w:szCs w:val="18"/>
              </w:rPr>
            </w:pPr>
          </w:p>
          <w:p>
            <w:pPr>
              <w:pStyle w:val="4"/>
              <w:numPr>
                <w:ilvl w:val="2"/>
                <w:numId w:val="0"/>
              </w:numPr>
              <w:snapToGrid w:val="0"/>
              <w:spacing w:before="0" w:after="0" w:line="240" w:lineRule="auto"/>
              <w:rPr>
                <w:rFonts w:ascii="Times New Roman" w:hAnsi="Times New Roman" w:eastAsia="Yu Mincho"/>
                <w:sz w:val="18"/>
                <w:szCs w:val="18"/>
                <w:lang w:val="en-US"/>
              </w:rPr>
            </w:pPr>
            <w:bookmarkStart w:id="23" w:name="_Toc112766547"/>
            <w:bookmarkStart w:id="24" w:name="_Toc99959253"/>
            <w:bookmarkStart w:id="25" w:name="_Toc99056320"/>
            <w:bookmarkStart w:id="26" w:name="_Toc106109655"/>
            <w:bookmarkStart w:id="27" w:name="_Toc105612439"/>
            <w:bookmarkStart w:id="28" w:name="_Toc113379463"/>
            <w:r>
              <w:rPr>
                <w:rFonts w:ascii="Times New Roman" w:hAnsi="Times New Roman" w:eastAsia="Yu Mincho"/>
                <w:sz w:val="18"/>
                <w:szCs w:val="18"/>
                <w:lang w:val="en-US"/>
              </w:rPr>
              <w:t>9.2.73</w:t>
            </w:r>
            <w:r>
              <w:rPr>
                <w:rFonts w:ascii="Times New Roman" w:hAnsi="Times New Roman" w:eastAsia="Yu Mincho"/>
                <w:sz w:val="18"/>
                <w:szCs w:val="18"/>
                <w:lang w:val="en-US"/>
              </w:rPr>
              <w:tab/>
            </w:r>
            <w:r>
              <w:rPr>
                <w:rFonts w:ascii="Times New Roman" w:hAnsi="Times New Roman" w:eastAsia="Yu Mincho"/>
                <w:sz w:val="18"/>
                <w:szCs w:val="18"/>
                <w:lang w:val="en-US"/>
              </w:rPr>
              <w:t>SRS Resource type</w:t>
            </w:r>
            <w:bookmarkEnd w:id="23"/>
            <w:bookmarkEnd w:id="24"/>
            <w:bookmarkEnd w:id="25"/>
            <w:bookmarkEnd w:id="26"/>
            <w:bookmarkEnd w:id="27"/>
            <w:bookmarkEnd w:id="28"/>
          </w:p>
          <w:p>
            <w:pPr>
              <w:snapToGrid w:val="0"/>
              <w:spacing w:after="0" w:line="240" w:lineRule="auto"/>
              <w:rPr>
                <w:rFonts w:ascii="Times New Roman" w:hAnsi="Times New Roman" w:eastAsia="Yu Mincho"/>
                <w:sz w:val="18"/>
                <w:szCs w:val="18"/>
              </w:rPr>
            </w:pPr>
            <w:r>
              <w:rPr>
                <w:rFonts w:ascii="Times New Roman" w:hAnsi="Times New Roman" w:eastAsia="Yu Mincho"/>
                <w:sz w:val="18"/>
                <w:szCs w:val="18"/>
              </w:rPr>
              <w:t>This IE contains the SRS resource type.</w:t>
            </w:r>
          </w:p>
          <w:tbl>
            <w:tblPr>
              <w:tblStyle w:val="27"/>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993"/>
              <w:gridCol w:w="893"/>
              <w:gridCol w:w="2061"/>
              <w:gridCol w:w="1423"/>
              <w:gridCol w:w="1006"/>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18" w:type="dxa"/>
                </w:tcPr>
                <w:p>
                  <w:pPr>
                    <w:pStyle w:val="59"/>
                    <w:snapToGrid w:val="0"/>
                    <w:rPr>
                      <w:rFonts w:ascii="Times New Roman" w:hAnsi="Times New Roman" w:eastAsia="Yu Mincho"/>
                      <w:szCs w:val="18"/>
                    </w:rPr>
                  </w:pPr>
                  <w:r>
                    <w:rPr>
                      <w:rFonts w:ascii="Times New Roman" w:hAnsi="Times New Roman" w:eastAsia="Yu Mincho"/>
                      <w:szCs w:val="18"/>
                    </w:rPr>
                    <w:t>IE/Group Name</w:t>
                  </w:r>
                </w:p>
              </w:tc>
              <w:tc>
                <w:tcPr>
                  <w:tcW w:w="994" w:type="dxa"/>
                </w:tcPr>
                <w:p>
                  <w:pPr>
                    <w:pStyle w:val="59"/>
                    <w:snapToGrid w:val="0"/>
                    <w:rPr>
                      <w:rFonts w:ascii="Times New Roman" w:hAnsi="Times New Roman" w:eastAsia="Yu Mincho"/>
                      <w:szCs w:val="18"/>
                    </w:rPr>
                  </w:pPr>
                  <w:r>
                    <w:rPr>
                      <w:rFonts w:ascii="Times New Roman" w:hAnsi="Times New Roman" w:eastAsia="Yu Mincho"/>
                      <w:szCs w:val="18"/>
                    </w:rPr>
                    <w:t>Presence</w:t>
                  </w:r>
                </w:p>
              </w:tc>
              <w:tc>
                <w:tcPr>
                  <w:tcW w:w="896" w:type="dxa"/>
                </w:tcPr>
                <w:p>
                  <w:pPr>
                    <w:pStyle w:val="59"/>
                    <w:snapToGrid w:val="0"/>
                    <w:rPr>
                      <w:rFonts w:ascii="Times New Roman" w:hAnsi="Times New Roman" w:eastAsia="Yu Mincho"/>
                      <w:szCs w:val="18"/>
                    </w:rPr>
                  </w:pPr>
                  <w:r>
                    <w:rPr>
                      <w:rFonts w:ascii="Times New Roman" w:hAnsi="Times New Roman" w:eastAsia="Yu Mincho"/>
                      <w:szCs w:val="18"/>
                    </w:rPr>
                    <w:t>Range</w:t>
                  </w:r>
                </w:p>
              </w:tc>
              <w:tc>
                <w:tcPr>
                  <w:tcW w:w="2052" w:type="dxa"/>
                </w:tcPr>
                <w:p>
                  <w:pPr>
                    <w:pStyle w:val="59"/>
                    <w:snapToGrid w:val="0"/>
                    <w:rPr>
                      <w:rFonts w:ascii="Times New Roman" w:hAnsi="Times New Roman" w:eastAsia="Yu Mincho"/>
                      <w:szCs w:val="18"/>
                    </w:rPr>
                  </w:pPr>
                  <w:r>
                    <w:rPr>
                      <w:rFonts w:ascii="Times New Roman" w:hAnsi="Times New Roman" w:eastAsia="Yu Mincho"/>
                      <w:szCs w:val="18"/>
                    </w:rPr>
                    <w:t>IE Type and Reference</w:t>
                  </w:r>
                </w:p>
              </w:tc>
              <w:tc>
                <w:tcPr>
                  <w:tcW w:w="1428" w:type="dxa"/>
                </w:tcPr>
                <w:p>
                  <w:pPr>
                    <w:pStyle w:val="59"/>
                    <w:snapToGrid w:val="0"/>
                    <w:rPr>
                      <w:rFonts w:ascii="Times New Roman" w:hAnsi="Times New Roman" w:eastAsia="Yu Mincho"/>
                      <w:szCs w:val="18"/>
                    </w:rPr>
                  </w:pPr>
                  <w:r>
                    <w:rPr>
                      <w:rFonts w:ascii="Times New Roman" w:hAnsi="Times New Roman" w:eastAsia="Yu Mincho"/>
                      <w:szCs w:val="18"/>
                    </w:rPr>
                    <w:t>Semantics Description</w:t>
                  </w:r>
                </w:p>
              </w:tc>
              <w:tc>
                <w:tcPr>
                  <w:tcW w:w="1004" w:type="dxa"/>
                </w:tcPr>
                <w:p>
                  <w:pPr>
                    <w:pStyle w:val="59"/>
                    <w:snapToGrid w:val="0"/>
                    <w:rPr>
                      <w:rFonts w:ascii="Times New Roman" w:hAnsi="Times New Roman" w:eastAsia="Yu Mincho"/>
                      <w:szCs w:val="18"/>
                    </w:rPr>
                  </w:pPr>
                  <w:r>
                    <w:rPr>
                      <w:rFonts w:ascii="Times New Roman" w:hAnsi="Times New Roman" w:eastAsia="Yu Mincho"/>
                      <w:szCs w:val="18"/>
                    </w:rPr>
                    <w:t>Criticality</w:t>
                  </w:r>
                </w:p>
              </w:tc>
              <w:tc>
                <w:tcPr>
                  <w:tcW w:w="1004" w:type="dxa"/>
                </w:tcPr>
                <w:p>
                  <w:pPr>
                    <w:pStyle w:val="59"/>
                    <w:snapToGrid w:val="0"/>
                    <w:rPr>
                      <w:rFonts w:ascii="Times New Roman" w:hAnsi="Times New Roman" w:eastAsia="Yu Mincho"/>
                      <w:szCs w:val="18"/>
                    </w:rPr>
                  </w:pPr>
                  <w:r>
                    <w:rPr>
                      <w:rFonts w:ascii="Times New Roman" w:hAnsi="Times New Roman" w:eastAsia="Yu Mincho"/>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18" w:type="dxa"/>
                </w:tcPr>
                <w:p>
                  <w:pPr>
                    <w:pStyle w:val="61"/>
                    <w:snapToGrid w:val="0"/>
                    <w:spacing w:line="240" w:lineRule="auto"/>
                    <w:rPr>
                      <w:rFonts w:ascii="Times New Roman" w:hAnsi="Times New Roman" w:eastAsia="Yu Mincho"/>
                      <w:szCs w:val="18"/>
                    </w:rPr>
                  </w:pPr>
                  <w:r>
                    <w:rPr>
                      <w:rFonts w:ascii="Times New Roman" w:hAnsi="Times New Roman" w:eastAsia="Yu Mincho"/>
                      <w:szCs w:val="18"/>
                    </w:rPr>
                    <w:t xml:space="preserve">CHOICE </w:t>
                  </w:r>
                  <w:r>
                    <w:rPr>
                      <w:rFonts w:ascii="Times New Roman" w:hAnsi="Times New Roman" w:eastAsia="Yu Mincho"/>
                      <w:i/>
                      <w:iCs/>
                      <w:szCs w:val="18"/>
                    </w:rPr>
                    <w:t>Reference Signal</w:t>
                  </w:r>
                </w:p>
              </w:tc>
              <w:tc>
                <w:tcPr>
                  <w:tcW w:w="994" w:type="dxa"/>
                </w:tcPr>
                <w:p>
                  <w:pPr>
                    <w:pStyle w:val="61"/>
                    <w:snapToGrid w:val="0"/>
                    <w:spacing w:line="240" w:lineRule="auto"/>
                    <w:rPr>
                      <w:rFonts w:ascii="Times New Roman" w:hAnsi="Times New Roman" w:eastAsia="Yu Mincho"/>
                      <w:szCs w:val="18"/>
                    </w:rPr>
                  </w:pPr>
                  <w:r>
                    <w:rPr>
                      <w:rFonts w:ascii="Times New Roman" w:hAnsi="Times New Roman" w:eastAsia="Yu Mincho"/>
                      <w:szCs w:val="18"/>
                    </w:rPr>
                    <w:t>M</w:t>
                  </w:r>
                </w:p>
              </w:tc>
              <w:tc>
                <w:tcPr>
                  <w:tcW w:w="896" w:type="dxa"/>
                </w:tcPr>
                <w:p>
                  <w:pPr>
                    <w:pStyle w:val="61"/>
                    <w:snapToGrid w:val="0"/>
                    <w:spacing w:line="240" w:lineRule="auto"/>
                    <w:rPr>
                      <w:rFonts w:ascii="Times New Roman" w:hAnsi="Times New Roman" w:eastAsia="Yu Mincho"/>
                      <w:szCs w:val="18"/>
                    </w:rPr>
                  </w:pPr>
                </w:p>
              </w:tc>
              <w:tc>
                <w:tcPr>
                  <w:tcW w:w="2052" w:type="dxa"/>
                </w:tcPr>
                <w:p>
                  <w:pPr>
                    <w:pStyle w:val="61"/>
                    <w:snapToGrid w:val="0"/>
                    <w:spacing w:line="240" w:lineRule="auto"/>
                    <w:rPr>
                      <w:rFonts w:ascii="Times New Roman" w:hAnsi="Times New Roman" w:eastAsia="Yu Mincho"/>
                      <w:szCs w:val="18"/>
                    </w:rPr>
                  </w:pPr>
                </w:p>
              </w:tc>
              <w:tc>
                <w:tcPr>
                  <w:tcW w:w="1428" w:type="dxa"/>
                </w:tcPr>
                <w:p>
                  <w:pPr>
                    <w:pStyle w:val="61"/>
                    <w:snapToGrid w:val="0"/>
                    <w:spacing w:line="240" w:lineRule="auto"/>
                    <w:rPr>
                      <w:rFonts w:ascii="Times New Roman" w:hAnsi="Times New Roman" w:eastAsia="Yu Mincho"/>
                      <w:bCs/>
                      <w:szCs w:val="18"/>
                    </w:rPr>
                  </w:pPr>
                </w:p>
              </w:tc>
              <w:tc>
                <w:tcPr>
                  <w:tcW w:w="1004" w:type="dxa"/>
                </w:tcPr>
                <w:p>
                  <w:pPr>
                    <w:pStyle w:val="60"/>
                    <w:snapToGrid w:val="0"/>
                    <w:rPr>
                      <w:rFonts w:ascii="Times New Roman" w:hAnsi="Times New Roman" w:eastAsia="Yu Mincho"/>
                      <w:szCs w:val="18"/>
                      <w:lang w:eastAsia="zh-CN"/>
                    </w:rPr>
                  </w:pPr>
                </w:p>
              </w:tc>
              <w:tc>
                <w:tcPr>
                  <w:tcW w:w="1004" w:type="dxa"/>
                </w:tcPr>
                <w:p>
                  <w:pPr>
                    <w:pStyle w:val="60"/>
                    <w:snapToGrid w:val="0"/>
                    <w:rPr>
                      <w:rFonts w:ascii="Times New Roman" w:hAnsi="Times New Roman"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818" w:type="dxa"/>
                </w:tcPr>
                <w:p>
                  <w:pPr>
                    <w:pStyle w:val="61"/>
                    <w:snapToGrid w:val="0"/>
                    <w:spacing w:line="240" w:lineRule="auto"/>
                    <w:ind w:left="142"/>
                    <w:rPr>
                      <w:rFonts w:ascii="Times New Roman" w:hAnsi="Times New Roman" w:eastAsia="Yu Mincho"/>
                      <w:szCs w:val="18"/>
                    </w:rPr>
                  </w:pPr>
                  <w:r>
                    <w:rPr>
                      <w:rFonts w:ascii="Times New Roman" w:hAnsi="Times New Roman" w:eastAsia="Yu Mincho"/>
                      <w:szCs w:val="18"/>
                    </w:rPr>
                    <w:t>&gt;SRS</w:t>
                  </w:r>
                </w:p>
              </w:tc>
              <w:tc>
                <w:tcPr>
                  <w:tcW w:w="994" w:type="dxa"/>
                </w:tcPr>
                <w:p>
                  <w:pPr>
                    <w:pStyle w:val="61"/>
                    <w:snapToGrid w:val="0"/>
                    <w:spacing w:line="240" w:lineRule="auto"/>
                    <w:rPr>
                      <w:rFonts w:ascii="Times New Roman" w:hAnsi="Times New Roman" w:eastAsia="Yu Mincho"/>
                      <w:szCs w:val="18"/>
                    </w:rPr>
                  </w:pPr>
                </w:p>
              </w:tc>
              <w:tc>
                <w:tcPr>
                  <w:tcW w:w="896" w:type="dxa"/>
                </w:tcPr>
                <w:p>
                  <w:pPr>
                    <w:pStyle w:val="61"/>
                    <w:snapToGrid w:val="0"/>
                    <w:spacing w:line="240" w:lineRule="auto"/>
                    <w:rPr>
                      <w:rFonts w:ascii="Times New Roman" w:hAnsi="Times New Roman" w:eastAsia="Yu Mincho"/>
                      <w:szCs w:val="18"/>
                    </w:rPr>
                  </w:pPr>
                </w:p>
              </w:tc>
              <w:tc>
                <w:tcPr>
                  <w:tcW w:w="2052" w:type="dxa"/>
                </w:tcPr>
                <w:p>
                  <w:pPr>
                    <w:pStyle w:val="61"/>
                    <w:snapToGrid w:val="0"/>
                    <w:spacing w:line="240" w:lineRule="auto"/>
                    <w:rPr>
                      <w:rFonts w:ascii="Times New Roman" w:hAnsi="Times New Roman" w:eastAsia="Yu Mincho"/>
                      <w:szCs w:val="18"/>
                    </w:rPr>
                  </w:pPr>
                </w:p>
              </w:tc>
              <w:tc>
                <w:tcPr>
                  <w:tcW w:w="1428" w:type="dxa"/>
                </w:tcPr>
                <w:p>
                  <w:pPr>
                    <w:pStyle w:val="61"/>
                    <w:snapToGrid w:val="0"/>
                    <w:spacing w:line="240" w:lineRule="auto"/>
                    <w:rPr>
                      <w:rFonts w:ascii="Times New Roman" w:hAnsi="Times New Roman" w:eastAsia="Yu Mincho"/>
                      <w:bCs/>
                      <w:szCs w:val="18"/>
                    </w:rPr>
                  </w:pPr>
                </w:p>
              </w:tc>
              <w:tc>
                <w:tcPr>
                  <w:tcW w:w="1004" w:type="dxa"/>
                </w:tcPr>
                <w:p>
                  <w:pPr>
                    <w:pStyle w:val="60"/>
                    <w:snapToGrid w:val="0"/>
                    <w:rPr>
                      <w:rFonts w:ascii="Times New Roman" w:hAnsi="Times New Roman" w:eastAsia="Yu Mincho"/>
                      <w:szCs w:val="18"/>
                      <w:lang w:eastAsia="zh-CN"/>
                    </w:rPr>
                  </w:pPr>
                </w:p>
              </w:tc>
              <w:tc>
                <w:tcPr>
                  <w:tcW w:w="1004" w:type="dxa"/>
                </w:tcPr>
                <w:p>
                  <w:pPr>
                    <w:pStyle w:val="60"/>
                    <w:snapToGrid w:val="0"/>
                    <w:rPr>
                      <w:rFonts w:ascii="Times New Roman" w:hAnsi="Times New Roman"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18" w:type="dxa"/>
                </w:tcPr>
                <w:p>
                  <w:pPr>
                    <w:pStyle w:val="61"/>
                    <w:snapToGrid w:val="0"/>
                    <w:spacing w:line="240" w:lineRule="auto"/>
                    <w:ind w:left="283"/>
                    <w:rPr>
                      <w:rFonts w:ascii="Times New Roman" w:hAnsi="Times New Roman" w:eastAsia="Yu Mincho"/>
                      <w:szCs w:val="18"/>
                      <w:highlight w:val="yellow"/>
                    </w:rPr>
                  </w:pPr>
                  <w:r>
                    <w:rPr>
                      <w:rFonts w:ascii="Times New Roman" w:hAnsi="Times New Roman" w:eastAsia="Yu Mincho"/>
                      <w:szCs w:val="18"/>
                      <w:highlight w:val="yellow"/>
                    </w:rPr>
                    <w:t>&gt;&gt;SRS Resource ID</w:t>
                  </w:r>
                </w:p>
              </w:tc>
              <w:tc>
                <w:tcPr>
                  <w:tcW w:w="994" w:type="dxa"/>
                </w:tcPr>
                <w:p>
                  <w:pPr>
                    <w:pStyle w:val="61"/>
                    <w:snapToGrid w:val="0"/>
                    <w:spacing w:line="240" w:lineRule="auto"/>
                    <w:rPr>
                      <w:rFonts w:ascii="Times New Roman" w:hAnsi="Times New Roman" w:eastAsia="Yu Mincho"/>
                      <w:szCs w:val="18"/>
                      <w:highlight w:val="yellow"/>
                    </w:rPr>
                  </w:pPr>
                  <w:r>
                    <w:rPr>
                      <w:rFonts w:ascii="Times New Roman" w:hAnsi="Times New Roman" w:eastAsia="Yu Mincho"/>
                      <w:szCs w:val="18"/>
                      <w:highlight w:val="yellow"/>
                    </w:rPr>
                    <w:t>M</w:t>
                  </w:r>
                </w:p>
              </w:tc>
              <w:tc>
                <w:tcPr>
                  <w:tcW w:w="896" w:type="dxa"/>
                </w:tcPr>
                <w:p>
                  <w:pPr>
                    <w:pStyle w:val="61"/>
                    <w:snapToGrid w:val="0"/>
                    <w:spacing w:line="240" w:lineRule="auto"/>
                    <w:rPr>
                      <w:rFonts w:ascii="Times New Roman" w:hAnsi="Times New Roman" w:eastAsia="Yu Mincho"/>
                      <w:szCs w:val="18"/>
                      <w:highlight w:val="yellow"/>
                    </w:rPr>
                  </w:pPr>
                </w:p>
              </w:tc>
              <w:tc>
                <w:tcPr>
                  <w:tcW w:w="2052" w:type="dxa"/>
                </w:tcPr>
                <w:p>
                  <w:pPr>
                    <w:pStyle w:val="61"/>
                    <w:snapToGrid w:val="0"/>
                    <w:spacing w:line="240" w:lineRule="auto"/>
                    <w:rPr>
                      <w:rFonts w:ascii="Times New Roman" w:hAnsi="Times New Roman" w:eastAsia="Yu Mincho"/>
                      <w:szCs w:val="18"/>
                      <w:highlight w:val="yellow"/>
                    </w:rPr>
                  </w:pPr>
                  <w:r>
                    <w:rPr>
                      <w:rFonts w:ascii="Times New Roman" w:hAnsi="Times New Roman" w:eastAsia="Yu Mincho"/>
                      <w:szCs w:val="18"/>
                      <w:highlight w:val="yellow"/>
                    </w:rPr>
                    <w:t>INTEGER(0..63)</w:t>
                  </w:r>
                </w:p>
              </w:tc>
              <w:tc>
                <w:tcPr>
                  <w:tcW w:w="1428" w:type="dxa"/>
                </w:tcPr>
                <w:p>
                  <w:pPr>
                    <w:pStyle w:val="61"/>
                    <w:snapToGrid w:val="0"/>
                    <w:spacing w:line="240" w:lineRule="auto"/>
                    <w:rPr>
                      <w:rFonts w:ascii="Times New Roman" w:hAnsi="Times New Roman" w:eastAsia="Yu Mincho"/>
                      <w:bCs/>
                      <w:szCs w:val="18"/>
                      <w:highlight w:val="yellow"/>
                    </w:rPr>
                  </w:pPr>
                </w:p>
              </w:tc>
              <w:tc>
                <w:tcPr>
                  <w:tcW w:w="1004" w:type="dxa"/>
                </w:tcPr>
                <w:p>
                  <w:pPr>
                    <w:pStyle w:val="60"/>
                    <w:snapToGrid w:val="0"/>
                    <w:rPr>
                      <w:rFonts w:ascii="Times New Roman" w:hAnsi="Times New Roman" w:eastAsia="Yu Mincho"/>
                      <w:szCs w:val="18"/>
                      <w:highlight w:val="yellow"/>
                      <w:lang w:eastAsia="zh-CN"/>
                    </w:rPr>
                  </w:pPr>
                </w:p>
              </w:tc>
              <w:tc>
                <w:tcPr>
                  <w:tcW w:w="1004" w:type="dxa"/>
                </w:tcPr>
                <w:p>
                  <w:pPr>
                    <w:pStyle w:val="60"/>
                    <w:snapToGrid w:val="0"/>
                    <w:rPr>
                      <w:rFonts w:ascii="Times New Roman" w:hAnsi="Times New Roman" w:eastAsia="Yu Mincho"/>
                      <w:szCs w:val="18"/>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818" w:type="dxa"/>
                </w:tcPr>
                <w:p>
                  <w:pPr>
                    <w:pStyle w:val="61"/>
                    <w:snapToGrid w:val="0"/>
                    <w:spacing w:line="240" w:lineRule="auto"/>
                    <w:ind w:left="142"/>
                    <w:rPr>
                      <w:rFonts w:ascii="Times New Roman" w:hAnsi="Times New Roman" w:eastAsia="Yu Mincho"/>
                      <w:szCs w:val="18"/>
                    </w:rPr>
                  </w:pPr>
                  <w:r>
                    <w:rPr>
                      <w:rFonts w:ascii="Times New Roman" w:hAnsi="Times New Roman" w:eastAsia="Yu Mincho"/>
                      <w:szCs w:val="18"/>
                    </w:rPr>
                    <w:t>&gt;</w:t>
                  </w:r>
                  <w:r>
                    <w:rPr>
                      <w:rFonts w:ascii="Times New Roman" w:hAnsi="Times New Roman" w:eastAsia="Yu Mincho"/>
                      <w:i/>
                      <w:iCs/>
                      <w:szCs w:val="18"/>
                    </w:rPr>
                    <w:t>Positioning SRS</w:t>
                  </w:r>
                </w:p>
              </w:tc>
              <w:tc>
                <w:tcPr>
                  <w:tcW w:w="994" w:type="dxa"/>
                </w:tcPr>
                <w:p>
                  <w:pPr>
                    <w:pStyle w:val="61"/>
                    <w:snapToGrid w:val="0"/>
                    <w:spacing w:line="240" w:lineRule="auto"/>
                    <w:rPr>
                      <w:rFonts w:ascii="Times New Roman" w:hAnsi="Times New Roman" w:eastAsia="Yu Mincho"/>
                      <w:szCs w:val="18"/>
                    </w:rPr>
                  </w:pPr>
                </w:p>
              </w:tc>
              <w:tc>
                <w:tcPr>
                  <w:tcW w:w="896" w:type="dxa"/>
                </w:tcPr>
                <w:p>
                  <w:pPr>
                    <w:pStyle w:val="61"/>
                    <w:snapToGrid w:val="0"/>
                    <w:spacing w:line="240" w:lineRule="auto"/>
                    <w:rPr>
                      <w:rFonts w:ascii="Times New Roman" w:hAnsi="Times New Roman" w:eastAsia="Yu Mincho"/>
                      <w:szCs w:val="18"/>
                    </w:rPr>
                  </w:pPr>
                </w:p>
              </w:tc>
              <w:tc>
                <w:tcPr>
                  <w:tcW w:w="2052" w:type="dxa"/>
                </w:tcPr>
                <w:p>
                  <w:pPr>
                    <w:pStyle w:val="61"/>
                    <w:snapToGrid w:val="0"/>
                    <w:spacing w:line="240" w:lineRule="auto"/>
                    <w:rPr>
                      <w:rFonts w:ascii="Times New Roman" w:hAnsi="Times New Roman" w:eastAsia="Yu Mincho"/>
                      <w:szCs w:val="18"/>
                    </w:rPr>
                  </w:pPr>
                </w:p>
              </w:tc>
              <w:tc>
                <w:tcPr>
                  <w:tcW w:w="1428" w:type="dxa"/>
                </w:tcPr>
                <w:p>
                  <w:pPr>
                    <w:pStyle w:val="61"/>
                    <w:snapToGrid w:val="0"/>
                    <w:spacing w:line="240" w:lineRule="auto"/>
                    <w:rPr>
                      <w:rFonts w:ascii="Times New Roman" w:hAnsi="Times New Roman" w:eastAsia="Yu Mincho"/>
                      <w:bCs/>
                      <w:szCs w:val="18"/>
                    </w:rPr>
                  </w:pPr>
                </w:p>
              </w:tc>
              <w:tc>
                <w:tcPr>
                  <w:tcW w:w="1004" w:type="dxa"/>
                </w:tcPr>
                <w:p>
                  <w:pPr>
                    <w:pStyle w:val="60"/>
                    <w:snapToGrid w:val="0"/>
                    <w:rPr>
                      <w:rFonts w:ascii="Times New Roman" w:hAnsi="Times New Roman" w:eastAsia="Yu Mincho"/>
                      <w:szCs w:val="18"/>
                      <w:lang w:eastAsia="zh-CN"/>
                    </w:rPr>
                  </w:pPr>
                </w:p>
              </w:tc>
              <w:tc>
                <w:tcPr>
                  <w:tcW w:w="1004" w:type="dxa"/>
                </w:tcPr>
                <w:p>
                  <w:pPr>
                    <w:pStyle w:val="60"/>
                    <w:snapToGrid w:val="0"/>
                    <w:rPr>
                      <w:rFonts w:ascii="Times New Roman" w:hAnsi="Times New Roman"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18" w:type="dxa"/>
                </w:tcPr>
                <w:p>
                  <w:pPr>
                    <w:pStyle w:val="61"/>
                    <w:snapToGrid w:val="0"/>
                    <w:spacing w:line="240" w:lineRule="auto"/>
                    <w:ind w:left="283"/>
                    <w:rPr>
                      <w:rFonts w:ascii="Times New Roman" w:hAnsi="Times New Roman" w:eastAsia="Yu Mincho"/>
                      <w:szCs w:val="18"/>
                    </w:rPr>
                  </w:pPr>
                  <w:r>
                    <w:rPr>
                      <w:rFonts w:ascii="Times New Roman" w:hAnsi="Times New Roman" w:eastAsia="Yu Mincho"/>
                      <w:szCs w:val="18"/>
                    </w:rPr>
                    <w:t>&gt;&gt;Positioning SRS Resource ID</w:t>
                  </w:r>
                </w:p>
              </w:tc>
              <w:tc>
                <w:tcPr>
                  <w:tcW w:w="994" w:type="dxa"/>
                </w:tcPr>
                <w:p>
                  <w:pPr>
                    <w:pStyle w:val="61"/>
                    <w:snapToGrid w:val="0"/>
                    <w:spacing w:line="240" w:lineRule="auto"/>
                    <w:rPr>
                      <w:rFonts w:ascii="Times New Roman" w:hAnsi="Times New Roman" w:eastAsia="Yu Mincho"/>
                      <w:szCs w:val="18"/>
                    </w:rPr>
                  </w:pPr>
                  <w:r>
                    <w:rPr>
                      <w:rFonts w:ascii="Times New Roman" w:hAnsi="Times New Roman" w:eastAsia="Yu Mincho"/>
                      <w:szCs w:val="18"/>
                    </w:rPr>
                    <w:t>M</w:t>
                  </w:r>
                </w:p>
              </w:tc>
              <w:tc>
                <w:tcPr>
                  <w:tcW w:w="896" w:type="dxa"/>
                </w:tcPr>
                <w:p>
                  <w:pPr>
                    <w:pStyle w:val="61"/>
                    <w:snapToGrid w:val="0"/>
                    <w:spacing w:line="240" w:lineRule="auto"/>
                    <w:rPr>
                      <w:rFonts w:ascii="Times New Roman" w:hAnsi="Times New Roman" w:eastAsia="Yu Mincho"/>
                      <w:szCs w:val="18"/>
                    </w:rPr>
                  </w:pPr>
                </w:p>
              </w:tc>
              <w:tc>
                <w:tcPr>
                  <w:tcW w:w="2052" w:type="dxa"/>
                </w:tcPr>
                <w:p>
                  <w:pPr>
                    <w:pStyle w:val="61"/>
                    <w:snapToGrid w:val="0"/>
                    <w:spacing w:line="240" w:lineRule="auto"/>
                    <w:rPr>
                      <w:rFonts w:ascii="Times New Roman" w:hAnsi="Times New Roman" w:eastAsia="Yu Mincho"/>
                      <w:szCs w:val="18"/>
                    </w:rPr>
                  </w:pPr>
                  <w:r>
                    <w:rPr>
                      <w:rFonts w:ascii="Times New Roman" w:hAnsi="Times New Roman" w:eastAsia="Yu Mincho"/>
                      <w:szCs w:val="18"/>
                    </w:rPr>
                    <w:t>INTEGER(0..63)</w:t>
                  </w:r>
                </w:p>
              </w:tc>
              <w:tc>
                <w:tcPr>
                  <w:tcW w:w="1428" w:type="dxa"/>
                </w:tcPr>
                <w:p>
                  <w:pPr>
                    <w:pStyle w:val="61"/>
                    <w:snapToGrid w:val="0"/>
                    <w:spacing w:line="240" w:lineRule="auto"/>
                    <w:rPr>
                      <w:rFonts w:ascii="Times New Roman" w:hAnsi="Times New Roman" w:eastAsia="Yu Mincho"/>
                      <w:bCs/>
                      <w:szCs w:val="18"/>
                    </w:rPr>
                  </w:pPr>
                </w:p>
              </w:tc>
              <w:tc>
                <w:tcPr>
                  <w:tcW w:w="1004" w:type="dxa"/>
                </w:tcPr>
                <w:p>
                  <w:pPr>
                    <w:pStyle w:val="60"/>
                    <w:snapToGrid w:val="0"/>
                    <w:rPr>
                      <w:rFonts w:ascii="Times New Roman" w:hAnsi="Times New Roman" w:eastAsia="Yu Mincho"/>
                      <w:szCs w:val="18"/>
                      <w:lang w:eastAsia="zh-CN"/>
                    </w:rPr>
                  </w:pPr>
                </w:p>
              </w:tc>
              <w:tc>
                <w:tcPr>
                  <w:tcW w:w="1004" w:type="dxa"/>
                </w:tcPr>
                <w:p>
                  <w:pPr>
                    <w:pStyle w:val="60"/>
                    <w:snapToGrid w:val="0"/>
                    <w:rPr>
                      <w:rFonts w:ascii="Times New Roman" w:hAnsi="Times New Roman"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818" w:type="dxa"/>
                </w:tcPr>
                <w:p>
                  <w:pPr>
                    <w:pStyle w:val="61"/>
                    <w:snapToGrid w:val="0"/>
                    <w:spacing w:line="240" w:lineRule="auto"/>
                    <w:rPr>
                      <w:rFonts w:ascii="Times New Roman" w:hAnsi="Times New Roman" w:eastAsia="Yu Mincho"/>
                      <w:szCs w:val="18"/>
                    </w:rPr>
                  </w:pPr>
                  <w:r>
                    <w:rPr>
                      <w:rFonts w:ascii="Times New Roman" w:hAnsi="Times New Roman"/>
                      <w:szCs w:val="18"/>
                    </w:rPr>
                    <w:t>SRS Port Index</w:t>
                  </w:r>
                </w:p>
              </w:tc>
              <w:tc>
                <w:tcPr>
                  <w:tcW w:w="994" w:type="dxa"/>
                </w:tcPr>
                <w:p>
                  <w:pPr>
                    <w:pStyle w:val="61"/>
                    <w:snapToGrid w:val="0"/>
                    <w:spacing w:line="240" w:lineRule="auto"/>
                    <w:rPr>
                      <w:rFonts w:ascii="Times New Roman" w:hAnsi="Times New Roman" w:eastAsia="Yu Mincho"/>
                      <w:szCs w:val="18"/>
                    </w:rPr>
                  </w:pPr>
                  <w:r>
                    <w:rPr>
                      <w:rFonts w:ascii="Times New Roman" w:hAnsi="Times New Roman"/>
                      <w:szCs w:val="18"/>
                    </w:rPr>
                    <w:t>O</w:t>
                  </w:r>
                </w:p>
              </w:tc>
              <w:tc>
                <w:tcPr>
                  <w:tcW w:w="896" w:type="dxa"/>
                </w:tcPr>
                <w:p>
                  <w:pPr>
                    <w:pStyle w:val="61"/>
                    <w:snapToGrid w:val="0"/>
                    <w:spacing w:line="240" w:lineRule="auto"/>
                    <w:rPr>
                      <w:rFonts w:ascii="Times New Roman" w:hAnsi="Times New Roman" w:eastAsia="Yu Mincho"/>
                      <w:szCs w:val="18"/>
                    </w:rPr>
                  </w:pPr>
                </w:p>
              </w:tc>
              <w:tc>
                <w:tcPr>
                  <w:tcW w:w="2052" w:type="dxa"/>
                </w:tcPr>
                <w:p>
                  <w:pPr>
                    <w:pStyle w:val="61"/>
                    <w:snapToGrid w:val="0"/>
                    <w:spacing w:line="240" w:lineRule="auto"/>
                    <w:rPr>
                      <w:rFonts w:ascii="Times New Roman" w:hAnsi="Times New Roman" w:eastAsia="Yu Mincho"/>
                      <w:szCs w:val="18"/>
                    </w:rPr>
                  </w:pPr>
                  <w:r>
                    <w:rPr>
                      <w:rFonts w:ascii="Times New Roman" w:hAnsi="Times New Roman"/>
                      <w:szCs w:val="18"/>
                    </w:rPr>
                    <w:t>ENUMERATED(id1000, id1001, id1002, id1003, …)</w:t>
                  </w:r>
                </w:p>
              </w:tc>
              <w:tc>
                <w:tcPr>
                  <w:tcW w:w="1428" w:type="dxa"/>
                </w:tcPr>
                <w:p>
                  <w:pPr>
                    <w:pStyle w:val="61"/>
                    <w:snapToGrid w:val="0"/>
                    <w:spacing w:line="240" w:lineRule="auto"/>
                    <w:rPr>
                      <w:rFonts w:ascii="Times New Roman" w:hAnsi="Times New Roman" w:eastAsia="Yu Mincho"/>
                      <w:bCs/>
                      <w:szCs w:val="18"/>
                    </w:rPr>
                  </w:pPr>
                  <w:r>
                    <w:rPr>
                      <w:rFonts w:ascii="Times New Roman" w:hAnsi="Times New Roman"/>
                      <w:bCs/>
                      <w:szCs w:val="18"/>
                    </w:rPr>
                    <w:t xml:space="preserve">This IE may be present if the </w:t>
                  </w:r>
                  <w:r>
                    <w:rPr>
                      <w:rFonts w:ascii="Times New Roman" w:hAnsi="Times New Roman"/>
                      <w:bCs/>
                      <w:i/>
                      <w:szCs w:val="18"/>
                    </w:rPr>
                    <w:t>SRS Resource ID</w:t>
                  </w:r>
                  <w:r>
                    <w:rPr>
                      <w:rFonts w:ascii="Times New Roman" w:hAnsi="Times New Roman"/>
                      <w:bCs/>
                      <w:szCs w:val="18"/>
                    </w:rPr>
                    <w:t xml:space="preserve"> IE is present, and is ignored otherwise. </w:t>
                  </w:r>
                </w:p>
              </w:tc>
              <w:tc>
                <w:tcPr>
                  <w:tcW w:w="1004" w:type="dxa"/>
                </w:tcPr>
                <w:p>
                  <w:pPr>
                    <w:pStyle w:val="60"/>
                    <w:snapToGrid w:val="0"/>
                    <w:rPr>
                      <w:rFonts w:ascii="Times New Roman" w:hAnsi="Times New Roman" w:eastAsia="Yu Mincho"/>
                      <w:szCs w:val="18"/>
                      <w:lang w:eastAsia="zh-CN"/>
                    </w:rPr>
                  </w:pPr>
                  <w:r>
                    <w:rPr>
                      <w:rFonts w:ascii="Times New Roman" w:hAnsi="Times New Roman" w:eastAsia="等线"/>
                      <w:szCs w:val="18"/>
                      <w:lang w:eastAsia="zh-CN"/>
                    </w:rPr>
                    <w:t>YES</w:t>
                  </w:r>
                </w:p>
              </w:tc>
              <w:tc>
                <w:tcPr>
                  <w:tcW w:w="1004" w:type="dxa"/>
                </w:tcPr>
                <w:p>
                  <w:pPr>
                    <w:pStyle w:val="60"/>
                    <w:snapToGrid w:val="0"/>
                    <w:rPr>
                      <w:rFonts w:ascii="Times New Roman" w:hAnsi="Times New Roman" w:eastAsia="Yu Mincho"/>
                      <w:szCs w:val="18"/>
                      <w:lang w:eastAsia="zh-CN"/>
                    </w:rPr>
                  </w:pPr>
                  <w:r>
                    <w:rPr>
                      <w:rFonts w:ascii="Times New Roman" w:hAnsi="Times New Roman" w:eastAsia="等线"/>
                      <w:szCs w:val="18"/>
                      <w:lang w:eastAsia="zh-CN"/>
                    </w:rPr>
                    <w:t>ignore</w:t>
                  </w:r>
                </w:p>
              </w:tc>
            </w:tr>
          </w:tbl>
          <w:p>
            <w:pPr>
              <w:snapToGrid w:val="0"/>
              <w:jc w:val="both"/>
              <w:rPr>
                <w:rFonts w:ascii="Times New Roman" w:hAnsi="Times New Roman" w:eastAsia="宋体"/>
                <w:sz w:val="20"/>
                <w:szCs w:val="20"/>
              </w:rPr>
            </w:pPr>
          </w:p>
        </w:tc>
      </w:tr>
    </w:tbl>
    <w:p>
      <w:pPr>
        <w:snapToGrid w:val="0"/>
        <w:jc w:val="both"/>
        <w:rPr>
          <w:rFonts w:ascii="Times New Roman" w:hAnsi="Times New Roman" w:eastAsia="宋体"/>
          <w:sz w:val="20"/>
          <w:szCs w:val="20"/>
        </w:rPr>
      </w:pPr>
    </w:p>
    <w:p>
      <w:pPr>
        <w:snapToGrid w:val="0"/>
        <w:jc w:val="both"/>
        <w:rPr>
          <w:rFonts w:ascii="Times New Roman" w:hAnsi="Times New Roman" w:eastAsia="Times New Roman"/>
          <w:sz w:val="20"/>
          <w:szCs w:val="20"/>
          <w:lang w:bidi="ar"/>
        </w:rPr>
      </w:pPr>
      <w:r>
        <w:rPr>
          <w:rFonts w:hint="eastAsia" w:ascii="Times New Roman" w:hAnsi="Times New Roman" w:eastAsia="宋体"/>
          <w:sz w:val="20"/>
          <w:szCs w:val="20"/>
        </w:rPr>
        <w:t>In Rel-18</w:t>
      </w:r>
      <w:bookmarkStart w:id="29" w:name="OLE_LINK2"/>
      <w:r>
        <w:rPr>
          <w:rFonts w:hint="eastAsia" w:ascii="Times New Roman" w:hAnsi="Times New Roman" w:eastAsia="宋体"/>
          <w:sz w:val="20"/>
          <w:szCs w:val="20"/>
        </w:rPr>
        <w:t xml:space="preserve"> for the measurement report of multi-carrier SRS aggregation</w:t>
      </w:r>
      <w:bookmarkEnd w:id="29"/>
      <w:r>
        <w:rPr>
          <w:rFonts w:hint="eastAsia" w:ascii="Times New Roman" w:hAnsi="Times New Roman" w:eastAsia="宋体"/>
          <w:sz w:val="20"/>
          <w:szCs w:val="20"/>
        </w:rPr>
        <w:t xml:space="preserve">, the measurement results for a TRP including {UL TROA, UL SRS-RSRP/RSRPP, </w:t>
      </w:r>
      <w:r>
        <w:rPr>
          <w:rFonts w:ascii="Times New Roman" w:hAnsi="Times New Roman" w:eastAsia="Times New Roman"/>
          <w:sz w:val="20"/>
          <w:szCs w:val="20"/>
          <w:lang w:bidi="ar"/>
        </w:rPr>
        <w:t>NB Rx-Tx Time Differenc</w:t>
      </w:r>
      <w:r>
        <w:rPr>
          <w:rFonts w:hint="eastAsia" w:ascii="Times New Roman" w:hAnsi="Times New Roman" w:eastAsia="Times New Roman"/>
          <w:sz w:val="20"/>
          <w:szCs w:val="20"/>
          <w:lang w:bidi="ar"/>
        </w:rPr>
        <w:t xml:space="preserve">e, </w:t>
      </w:r>
      <w:r>
        <w:rPr>
          <w:rFonts w:ascii="Times New Roman" w:hAnsi="Times New Roman" w:eastAsia="Times New Roman"/>
          <w:sz w:val="20"/>
          <w:szCs w:val="20"/>
          <w:lang w:bidi="ar"/>
        </w:rPr>
        <w:t>Measurement Quality</w:t>
      </w:r>
      <w:r>
        <w:rPr>
          <w:rFonts w:hint="eastAsia" w:ascii="Times New Roman" w:hAnsi="Times New Roman" w:eastAsia="Times New Roman"/>
          <w:sz w:val="20"/>
          <w:szCs w:val="20"/>
          <w:lang w:bidi="ar"/>
        </w:rPr>
        <w:t xml:space="preserve">, </w:t>
      </w:r>
      <w:r>
        <w:rPr>
          <w:rFonts w:ascii="Times New Roman" w:hAnsi="Times New Roman" w:eastAsia="Times New Roman"/>
          <w:sz w:val="20"/>
          <w:szCs w:val="20"/>
          <w:lang w:bidi="ar"/>
        </w:rPr>
        <w:t>Time Stamp</w:t>
      </w:r>
      <w:r>
        <w:rPr>
          <w:rFonts w:hint="eastAsia" w:ascii="Times New Roman" w:hAnsi="Times New Roman" w:eastAsia="Times New Roman"/>
          <w:sz w:val="20"/>
          <w:szCs w:val="20"/>
          <w:lang w:bidi="ar"/>
        </w:rPr>
        <w:t xml:space="preserve">, </w:t>
      </w:r>
      <w:r>
        <w:rPr>
          <w:rFonts w:ascii="Times New Roman" w:hAnsi="Times New Roman" w:eastAsia="Times New Roman"/>
          <w:sz w:val="20"/>
          <w:szCs w:val="20"/>
          <w:lang w:bidi="ar"/>
        </w:rPr>
        <w:t>ARP ID</w:t>
      </w:r>
      <w:r>
        <w:rPr>
          <w:rFonts w:hint="eastAsia" w:ascii="Times New Roman" w:hAnsi="Times New Roman" w:eastAsia="Times New Roman"/>
          <w:sz w:val="20"/>
          <w:szCs w:val="20"/>
          <w:lang w:bidi="ar"/>
        </w:rPr>
        <w:t xml:space="preserve">, </w:t>
      </w:r>
      <w:r>
        <w:rPr>
          <w:rFonts w:ascii="Times New Roman" w:hAnsi="Times New Roman" w:eastAsia="Times New Roman"/>
          <w:sz w:val="20"/>
          <w:szCs w:val="20"/>
          <w:lang w:bidi="ar"/>
        </w:rPr>
        <w:t>LoS/NLoS Information</w:t>
      </w:r>
      <w:r>
        <w:rPr>
          <w:rFonts w:hint="eastAsia" w:ascii="Times New Roman" w:hAnsi="Times New Roman" w:eastAsia="Times New Roman"/>
          <w:sz w:val="20"/>
          <w:szCs w:val="20"/>
          <w:lang w:bidi="ar"/>
        </w:rPr>
        <w:t xml:space="preserve"> } should be based on the aggregated SRS in the multiple carriers. From specification perspective, those IEs in the existing 38.455 can be reused. To let LMF clearer on SRS configuration, it is better to further report whether the measurement is based on SRS carrier aggregation, if yes and further report on which carriers SRS are transmitted. </w:t>
      </w:r>
    </w:p>
    <w:p>
      <w:pPr>
        <w:snapToGrid w:val="0"/>
        <w:jc w:val="both"/>
        <w:rPr>
          <w:rFonts w:ascii="Times New Roman" w:hAnsi="Times New Roman" w:eastAsia="Times New Roman"/>
          <w:sz w:val="20"/>
          <w:szCs w:val="20"/>
          <w:lang w:bidi="ar"/>
        </w:rPr>
      </w:pPr>
      <w:r>
        <w:rPr>
          <w:rFonts w:hint="eastAsia" w:ascii="Times New Roman" w:hAnsi="Times New Roman" w:eastAsia="Times New Roman"/>
          <w:b/>
          <w:bCs/>
          <w:i/>
          <w:iCs/>
          <w:sz w:val="20"/>
          <w:szCs w:val="20"/>
          <w:lang w:bidi="ar"/>
        </w:rPr>
        <w:t>Proposal 11:</w:t>
      </w:r>
      <w:r>
        <w:rPr>
          <w:rFonts w:hint="eastAsia" w:ascii="Times New Roman" w:hAnsi="Times New Roman" w:eastAsia="Times New Roman"/>
          <w:i/>
          <w:iCs/>
          <w:sz w:val="20"/>
          <w:szCs w:val="20"/>
          <w:lang w:bidi="ar"/>
        </w:rPr>
        <w:t xml:space="preserve"> Support that </w:t>
      </w:r>
      <w:r>
        <w:rPr>
          <w:rFonts w:hint="eastAsia" w:ascii="Times New Roman" w:hAnsi="Times New Roman" w:eastAsia="宋体"/>
          <w:i/>
          <w:iCs/>
          <w:sz w:val="20"/>
          <w:szCs w:val="20"/>
        </w:rPr>
        <w:t xml:space="preserve">TRP reports the SRS measurement results with the carrier aggregation information. </w:t>
      </w:r>
      <w:r>
        <w:rPr>
          <w:rFonts w:hint="eastAsia" w:ascii="Times New Roman" w:hAnsi="Times New Roman" w:eastAsia="宋体"/>
          <w:sz w:val="20"/>
          <w:szCs w:val="20"/>
        </w:rPr>
        <w:t xml:space="preserv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Conclusion</w:t>
      </w:r>
    </w:p>
    <w:p>
      <w:p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 our views on multiple frequency layers (carriers) techniques as the following.</w:t>
      </w:r>
    </w:p>
    <w:p>
      <w:pPr>
        <w:snapToGrid w:val="0"/>
        <w:spacing w:after="0" w:line="240" w:lineRule="auto"/>
        <w:jc w:val="both"/>
        <w:rPr>
          <w:rFonts w:ascii="Times New Roman" w:hAnsi="Times New Roman"/>
          <w:i/>
          <w:sz w:val="20"/>
          <w:szCs w:val="20"/>
        </w:rPr>
      </w:pPr>
      <w:r>
        <w:rPr>
          <w:rFonts w:hint="eastAsia" w:ascii="Times New Roman" w:hAnsi="Times New Roman"/>
          <w:b/>
          <w:bCs/>
          <w:i/>
          <w:sz w:val="20"/>
          <w:szCs w:val="20"/>
        </w:rPr>
        <w:t xml:space="preserve">Proposal 1: </w:t>
      </w:r>
      <w:r>
        <w:rPr>
          <w:rFonts w:hint="eastAsia" w:ascii="Times New Roman" w:hAnsi="Times New Roman"/>
          <w:i/>
          <w:sz w:val="20"/>
          <w:szCs w:val="20"/>
        </w:rPr>
        <w:t>Support new LPP signaling to link two or three PFLs for PRS bandwidth aggregation. For linked PFL#i and PFL#j, at least the following conditions should be ensured.</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CP and SCS should be the same</w:t>
      </w:r>
    </w:p>
    <w:p>
      <w:pPr>
        <w:numPr>
          <w:ilvl w:val="0"/>
          <w:numId w:val="5"/>
        </w:numPr>
        <w:snapToGrid w:val="0"/>
        <w:spacing w:after="0" w:line="240" w:lineRule="auto"/>
        <w:jc w:val="both"/>
        <w:rPr>
          <w:rFonts w:ascii="Times New Roman" w:hAnsi="Times New Roman"/>
          <w:i/>
          <w:sz w:val="20"/>
          <w:szCs w:val="20"/>
        </w:rPr>
      </w:pPr>
      <w:r>
        <w:rPr>
          <w:rFonts w:ascii="Times New Roman" w:hAnsi="Times New Roman"/>
          <w:i/>
          <w:sz w:val="20"/>
          <w:szCs w:val="20"/>
        </w:rPr>
        <w:t xml:space="preserve">PRS Comb size should be the same </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number of PRS resource sets should be the same</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m</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set in PFL#i is linked with the m</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set in PFL#j by default.</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number of PRS resources in the linked PRS resource sets should be the same</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n</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in m</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set in PFL#i is linked with the n</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in m</w:t>
      </w:r>
      <w:r>
        <w:rPr>
          <w:rFonts w:hint="eastAsia" w:ascii="Times New Roman" w:hAnsi="Times New Roman"/>
          <w:i/>
          <w:sz w:val="20"/>
          <w:szCs w:val="20"/>
          <w:vertAlign w:val="superscript"/>
        </w:rPr>
        <w:t>th</w:t>
      </w:r>
      <w:r>
        <w:rPr>
          <w:rFonts w:hint="eastAsia" w:ascii="Times New Roman" w:hAnsi="Times New Roman"/>
          <w:i/>
          <w:sz w:val="20"/>
          <w:szCs w:val="20"/>
        </w:rPr>
        <w:t xml:space="preserve"> PRS resource set in PFL#j by default.</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linked PRS resources should be in the same symbol(s).</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ARP locations of linked PRS resource sets or resources should be the same </w:t>
      </w:r>
    </w:p>
    <w:p>
      <w:pPr>
        <w:snapToGrid w:val="0"/>
        <w:spacing w:after="0" w:line="240" w:lineRule="auto"/>
        <w:jc w:val="both"/>
        <w:rPr>
          <w:rFonts w:ascii="Times New Roman" w:hAnsi="Times New Roman"/>
          <w:b/>
          <w:bCs/>
          <w:i/>
          <w:iCs/>
          <w:sz w:val="20"/>
          <w:szCs w:val="20"/>
        </w:rPr>
      </w:pP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For DL-TDOA and multi-RTT</w:t>
      </w:r>
      <w:r>
        <w:rPr>
          <w:rFonts w:ascii="Times New Roman" w:hAnsi="Times New Roman"/>
          <w:i/>
          <w:iCs/>
          <w:sz w:val="20"/>
          <w:szCs w:val="20"/>
        </w:rPr>
        <w:t xml:space="preserve"> measurement report</w:t>
      </w:r>
      <w:r>
        <w:rPr>
          <w:rFonts w:hint="eastAsia" w:ascii="Times New Roman" w:hAnsi="Times New Roman"/>
          <w:i/>
          <w:iCs/>
          <w:sz w:val="20"/>
          <w:szCs w:val="20"/>
        </w:rPr>
        <w:t>, when UE is configured with BW aggregated PRS via LPP assistance data, select one of the following two options:</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Option 1: UE always measures the RSTD or UE Rx-Tx time difference based on the aggregated PFL. </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2: UE has flexibility to report RSTD or UE Rx-Tx time difference based on either single PFL or aggregated PFL</w:t>
      </w:r>
      <w:r>
        <w:rPr>
          <w:rFonts w:ascii="Times New Roman" w:hAnsi="Times New Roman"/>
          <w:i/>
          <w:sz w:val="20"/>
          <w:szCs w:val="20"/>
        </w:rPr>
        <w:t>s</w:t>
      </w:r>
    </w:p>
    <w:p>
      <w:pPr>
        <w:snapToGrid w:val="0"/>
        <w:spacing w:after="0" w:line="240" w:lineRule="auto"/>
        <w:jc w:val="both"/>
        <w:rPr>
          <w:rFonts w:ascii="Times New Roman" w:hAnsi="Times New Roman"/>
          <w:b/>
          <w:bCs/>
          <w:i/>
          <w:iCs/>
          <w:sz w:val="20"/>
          <w:szCs w:val="20"/>
        </w:rPr>
      </w:pP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3: </w:t>
      </w:r>
      <w:r>
        <w:rPr>
          <w:rFonts w:hint="eastAsia" w:ascii="Times New Roman" w:hAnsi="Times New Roman"/>
          <w:i/>
          <w:iCs/>
          <w:sz w:val="20"/>
          <w:szCs w:val="20"/>
        </w:rPr>
        <w:t>When UE is configured with BW aggregated PRS via LPP assistance data, single PPW can be shared for the aggregated PFLs.</w:t>
      </w:r>
      <w:r>
        <w:rPr>
          <w:rFonts w:hint="eastAsia" w:ascii="Times New Roman" w:hAnsi="Times New Roman"/>
          <w:sz w:val="20"/>
          <w:szCs w:val="20"/>
        </w:rPr>
        <w:t xml:space="preserve"> </w:t>
      </w:r>
    </w:p>
    <w:p>
      <w:pPr>
        <w:snapToGrid w:val="0"/>
        <w:spacing w:after="0" w:line="240" w:lineRule="auto"/>
        <w:jc w:val="both"/>
        <w:rPr>
          <w:rFonts w:ascii="Times New Roman" w:hAnsi="Times New Roman"/>
          <w:b/>
          <w:bCs/>
          <w:i/>
          <w:iCs/>
          <w:sz w:val="20"/>
          <w:szCs w:val="20"/>
        </w:rPr>
      </w:pP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4:</w:t>
      </w:r>
      <w:r>
        <w:rPr>
          <w:rFonts w:hint="eastAsia" w:ascii="Times New Roman" w:hAnsi="Times New Roman"/>
          <w:i/>
          <w:iCs/>
          <w:sz w:val="20"/>
          <w:szCs w:val="20"/>
        </w:rPr>
        <w:t xml:space="preserve"> When UE is configured with BW aggregated PRS via LPP assistance data and PPW(s) is configured by gNB, the following options should be determined</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1: It is only allowed that a shared PPW is configured/ activated for PRS BW aggregation measurement</w:t>
      </w:r>
    </w:p>
    <w:p>
      <w:pPr>
        <w:numPr>
          <w:ilvl w:val="0"/>
          <w:numId w:val="5"/>
        </w:numPr>
        <w:snapToGrid w:val="0"/>
        <w:spacing w:after="0" w:line="240" w:lineRule="auto"/>
        <w:jc w:val="both"/>
        <w:rPr>
          <w:rFonts w:ascii="Times New Roman" w:hAnsi="Times New Roman"/>
          <w:i/>
          <w:iCs/>
          <w:sz w:val="20"/>
          <w:szCs w:val="20"/>
        </w:rPr>
      </w:pPr>
      <w:r>
        <w:rPr>
          <w:rFonts w:hint="eastAsia" w:ascii="Times New Roman" w:hAnsi="Times New Roman"/>
          <w:i/>
          <w:sz w:val="20"/>
          <w:szCs w:val="20"/>
        </w:rPr>
        <w:t xml:space="preserve">Option 2: Either a shared PPW for PRS BW aggregation measurement or non-shared PPW(s) for single PFL measurement can be configured/activated </w:t>
      </w:r>
    </w:p>
    <w:p>
      <w:pPr>
        <w:snapToGrid w:val="0"/>
        <w:spacing w:after="0" w:line="240" w:lineRule="auto"/>
        <w:ind w:left="420"/>
        <w:jc w:val="both"/>
        <w:rPr>
          <w:rFonts w:ascii="Times New Roman" w:hAnsi="Times New Roman"/>
          <w:i/>
          <w:iCs/>
          <w:sz w:val="20"/>
          <w:szCs w:val="20"/>
        </w:rPr>
      </w:pP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5: </w:t>
      </w:r>
      <w:r>
        <w:rPr>
          <w:rFonts w:hint="eastAsia" w:ascii="Times New Roman" w:hAnsi="Times New Roman"/>
          <w:i/>
          <w:iCs/>
          <w:sz w:val="20"/>
          <w:szCs w:val="20"/>
        </w:rPr>
        <w:t>When UE is configured with BW aggregated PRS via LPP assistance data and a shared PPW is activated, the following options should be determined</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1: UE always measures the RSTD or UE Rx-Tx time difference based on the aggregated PFL in the shared PPW</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2: UE has flexibility to measure RSTD or UE Rx-Tx time difference based on either single PFL or aggregated PFL in the shared PPW</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6: </w:t>
      </w:r>
      <w:r>
        <w:rPr>
          <w:rFonts w:hint="eastAsia" w:ascii="Times New Roman" w:hAnsi="Times New Roman"/>
          <w:i/>
          <w:iCs/>
          <w:sz w:val="20"/>
          <w:szCs w:val="20"/>
        </w:rPr>
        <w:t>For SRS aggregation</w:t>
      </w:r>
      <w:r>
        <w:rPr>
          <w:rFonts w:ascii="Times New Roman" w:hAnsi="Times New Roman"/>
          <w:i/>
          <w:iCs/>
          <w:sz w:val="20"/>
          <w:szCs w:val="20"/>
        </w:rPr>
        <w:t xml:space="preserve"> from two or three contiguous NUL carriers</w:t>
      </w:r>
      <w:r>
        <w:rPr>
          <w:rFonts w:hint="eastAsia" w:ascii="Times New Roman" w:hAnsi="Times New Roman"/>
          <w:i/>
          <w:iCs/>
          <w:sz w:val="20"/>
          <w:szCs w:val="20"/>
        </w:rPr>
        <w:t>, support all types of aperiodic, semi-persistent and periodic SRS for positioning for UE in RRC connected mode, and support semi-persistent and periodic SRS for positioning for UE in RRC inactive mode.</w:t>
      </w:r>
    </w:p>
    <w:p>
      <w:pPr>
        <w:snapToGrid w:val="0"/>
        <w:spacing w:after="0" w:line="240" w:lineRule="auto"/>
        <w:jc w:val="both"/>
        <w:rPr>
          <w:rFonts w:ascii="Times New Roman" w:hAnsi="Times New Roman"/>
          <w:i/>
          <w:sz w:val="20"/>
          <w:szCs w:val="20"/>
        </w:rPr>
      </w:pPr>
      <w:r>
        <w:rPr>
          <w:rFonts w:hint="eastAsia" w:ascii="Times New Roman" w:hAnsi="Times New Roman"/>
          <w:b/>
          <w:bCs/>
          <w:i/>
          <w:sz w:val="20"/>
          <w:szCs w:val="20"/>
        </w:rPr>
        <w:t xml:space="preserve">Proposal 7: </w:t>
      </w:r>
      <w:r>
        <w:rPr>
          <w:rFonts w:hint="eastAsia" w:ascii="Times New Roman" w:hAnsi="Times New Roman"/>
          <w:i/>
          <w:sz w:val="20"/>
          <w:szCs w:val="20"/>
        </w:rPr>
        <w:t>To enable positioning SRS aggregation</w:t>
      </w:r>
      <w:r>
        <w:rPr>
          <w:rFonts w:ascii="Times New Roman" w:hAnsi="Times New Roman"/>
          <w:i/>
          <w:sz w:val="20"/>
          <w:szCs w:val="20"/>
        </w:rPr>
        <w:t xml:space="preserve"> on two or three </w:t>
      </w:r>
      <w:r>
        <w:rPr>
          <w:rFonts w:ascii="Times New Roman" w:hAnsi="Times New Roman"/>
          <w:i/>
          <w:iCs/>
          <w:sz w:val="20"/>
          <w:szCs w:val="20"/>
        </w:rPr>
        <w:t>contiguous NUL carriers</w:t>
      </w:r>
      <w:r>
        <w:rPr>
          <w:rFonts w:hint="eastAsia" w:ascii="Times New Roman" w:hAnsi="Times New Roman"/>
          <w:i/>
          <w:sz w:val="20"/>
          <w:szCs w:val="20"/>
        </w:rPr>
        <w:t xml:space="preserve"> for UE in RRC connected mode, support </w:t>
      </w:r>
      <w:r>
        <w:rPr>
          <w:rFonts w:ascii="Times New Roman" w:hAnsi="Times New Roman"/>
          <w:i/>
          <w:sz w:val="20"/>
          <w:szCs w:val="20"/>
        </w:rPr>
        <w:t xml:space="preserve">new </w:t>
      </w:r>
      <w:r>
        <w:rPr>
          <w:rFonts w:hint="eastAsia" w:ascii="Times New Roman" w:hAnsi="Times New Roman"/>
          <w:i/>
          <w:sz w:val="20"/>
          <w:szCs w:val="20"/>
        </w:rPr>
        <w:t>RRC signaling to link</w:t>
      </w:r>
      <w:r>
        <w:rPr>
          <w:rFonts w:ascii="Times New Roman" w:hAnsi="Times New Roman"/>
          <w:i/>
          <w:sz w:val="20"/>
          <w:szCs w:val="20"/>
        </w:rPr>
        <w:t xml:space="preserve"> the</w:t>
      </w:r>
      <w:r>
        <w:rPr>
          <w:rFonts w:hint="eastAsia" w:ascii="Times New Roman" w:hAnsi="Times New Roman"/>
          <w:i/>
          <w:sz w:val="20"/>
          <w:szCs w:val="20"/>
        </w:rPr>
        <w:t xml:space="preserve"> two or three </w:t>
      </w:r>
      <w:r>
        <w:rPr>
          <w:rFonts w:ascii="Times New Roman" w:hAnsi="Times New Roman"/>
          <w:i/>
          <w:sz w:val="20"/>
          <w:szCs w:val="20"/>
        </w:rPr>
        <w:t xml:space="preserve">NUL </w:t>
      </w:r>
      <w:r>
        <w:rPr>
          <w:rFonts w:hint="eastAsia" w:ascii="Times New Roman" w:hAnsi="Times New Roman"/>
          <w:i/>
          <w:sz w:val="20"/>
          <w:szCs w:val="20"/>
        </w:rPr>
        <w:t>carriers. And the following conditions should be ensured for the linked carrier i and j.</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SCS and CP for the active BWPs in the linked carriers should be same</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The number of SRS resource sets for positioning in the linked carriers should be same </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m</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set in carrier#i is linked with the m</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set in carrier#j by default.</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The number of SRS resources for positioning in the linked carriers should be same </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n</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in m</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set in carrier#i is linked with the n</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in m</w:t>
      </w:r>
      <w:r>
        <w:rPr>
          <w:rFonts w:hint="eastAsia" w:ascii="Times New Roman" w:hAnsi="Times New Roman"/>
          <w:i/>
          <w:sz w:val="20"/>
          <w:szCs w:val="20"/>
          <w:vertAlign w:val="superscript"/>
        </w:rPr>
        <w:t>th</w:t>
      </w:r>
      <w:r>
        <w:rPr>
          <w:rFonts w:hint="eastAsia" w:ascii="Times New Roman" w:hAnsi="Times New Roman"/>
          <w:i/>
          <w:sz w:val="20"/>
          <w:szCs w:val="20"/>
        </w:rPr>
        <w:t xml:space="preserve"> SRS resource set in carrier#j by default.</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The linked SRS resources should be transmitted in the same symbol(s)</w:t>
      </w:r>
    </w:p>
    <w:p>
      <w:pPr>
        <w:numPr>
          <w:ilvl w:val="1"/>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 xml:space="preserve">This condition should be ensured by gNB configuration with suitable parameters including startPosition, nrofSymbols, periodicityAndOffset, and slotOffset </w:t>
      </w:r>
    </w:p>
    <w:p>
      <w:pPr>
        <w:pStyle w:val="106"/>
        <w:snapToGrid w:val="0"/>
        <w:spacing w:after="0"/>
        <w:jc w:val="both"/>
        <w:rPr>
          <w:rFonts w:ascii="Times New Roman" w:hAnsi="Times New Roman"/>
          <w:i/>
          <w:lang w:val="en-US" w:eastAsia="zh-CN"/>
        </w:rPr>
      </w:pPr>
    </w:p>
    <w:p>
      <w:pPr>
        <w:pStyle w:val="106"/>
        <w:snapToGrid w:val="0"/>
        <w:spacing w:after="0"/>
        <w:jc w:val="both"/>
        <w:rPr>
          <w:rFonts w:ascii="Times New Roman" w:hAnsi="Times New Roman"/>
          <w:b w:val="0"/>
          <w:bCs/>
          <w:i/>
          <w:lang w:val="en-US" w:eastAsia="zh-CN"/>
        </w:rPr>
      </w:pPr>
      <w:r>
        <w:rPr>
          <w:rFonts w:hint="eastAsia" w:ascii="Times New Roman" w:hAnsi="Times New Roman"/>
          <w:i/>
          <w:lang w:val="en-US" w:eastAsia="zh-CN"/>
        </w:rPr>
        <w:t xml:space="preserve">Proposal 8: </w:t>
      </w:r>
      <w:r>
        <w:rPr>
          <w:rFonts w:hint="eastAsia" w:ascii="Times New Roman" w:hAnsi="Times New Roman"/>
          <w:b w:val="0"/>
          <w:bCs/>
          <w:i/>
          <w:lang w:val="en-US" w:eastAsia="zh-CN"/>
        </w:rPr>
        <w:t>Support single MAC CE to activate/deactivate semi-persistent positioning SRS resource sets in the two or three linked carriers. When a carrier i is lined with a carrier j by RRC signaling, select one of the two options:</w:t>
      </w:r>
    </w:p>
    <w:p>
      <w:pPr>
        <w:numPr>
          <w:ilvl w:val="0"/>
          <w:numId w:val="5"/>
        </w:numPr>
        <w:snapToGrid w:val="0"/>
        <w:spacing w:after="0" w:line="240" w:lineRule="auto"/>
        <w:jc w:val="both"/>
        <w:rPr>
          <w:rFonts w:ascii="Times New Roman" w:hAnsi="Times New Roman"/>
          <w:i/>
          <w:sz w:val="20"/>
          <w:szCs w:val="20"/>
        </w:rPr>
      </w:pPr>
      <w:r>
        <w:rPr>
          <w:rFonts w:hint="eastAsia" w:ascii="Times New Roman" w:hAnsi="Times New Roman"/>
          <w:i/>
          <w:sz w:val="20"/>
          <w:szCs w:val="20"/>
        </w:rPr>
        <w:t>Option 1: a MAC CE activating/deactivating a</w:t>
      </w:r>
      <w:r>
        <w:rPr>
          <w:rFonts w:ascii="Times New Roman" w:hAnsi="Times New Roman"/>
          <w:i/>
          <w:sz w:val="20"/>
          <w:szCs w:val="20"/>
        </w:rPr>
        <w:t>n</w:t>
      </w:r>
      <w:r>
        <w:rPr>
          <w:rFonts w:hint="eastAsia" w:ascii="Times New Roman" w:hAnsi="Times New Roman"/>
          <w:i/>
          <w:sz w:val="20"/>
          <w:szCs w:val="20"/>
        </w:rPr>
        <w:t xml:space="preserve"> SRS resource set with ID m in carrier i should always activate/deactivate the SRS resource set with ID m in the carrier j. </w:t>
      </w:r>
    </w:p>
    <w:p>
      <w:pPr>
        <w:numPr>
          <w:ilvl w:val="0"/>
          <w:numId w:val="5"/>
        </w:numPr>
        <w:snapToGrid w:val="0"/>
        <w:spacing w:after="0" w:line="240" w:lineRule="auto"/>
        <w:jc w:val="both"/>
        <w:rPr>
          <w:rFonts w:ascii="Times New Roman" w:hAnsi="Times New Roman"/>
          <w:i/>
          <w:sz w:val="20"/>
          <w:szCs w:val="20"/>
          <w:lang w:eastAsia="ko-KR"/>
        </w:rPr>
      </w:pPr>
      <w:r>
        <w:rPr>
          <w:rFonts w:hint="eastAsia" w:ascii="Times New Roman" w:hAnsi="Times New Roman"/>
          <w:i/>
          <w:sz w:val="20"/>
          <w:szCs w:val="20"/>
        </w:rPr>
        <w:t>Option 2: a MAC CE activating/deactivating a</w:t>
      </w:r>
      <w:r>
        <w:rPr>
          <w:rFonts w:ascii="Times New Roman" w:hAnsi="Times New Roman"/>
          <w:i/>
          <w:sz w:val="20"/>
          <w:szCs w:val="20"/>
        </w:rPr>
        <w:t>n</w:t>
      </w:r>
      <w:r>
        <w:rPr>
          <w:rFonts w:hint="eastAsia" w:ascii="Times New Roman" w:hAnsi="Times New Roman"/>
          <w:i/>
          <w:sz w:val="20"/>
          <w:szCs w:val="20"/>
        </w:rPr>
        <w:t xml:space="preserve"> SRS resource set with ID m in carrier i can either activate/deactivate the SRS resource set with ID m in carrier i or activate/deactivate the SRS resource sets with ID m in both carrier </w:t>
      </w:r>
      <w:r>
        <w:rPr>
          <w:rFonts w:ascii="Times New Roman" w:hAnsi="Times New Roman"/>
          <w:i/>
          <w:sz w:val="20"/>
          <w:szCs w:val="20"/>
        </w:rPr>
        <w:t xml:space="preserve">i </w:t>
      </w:r>
      <w:r>
        <w:rPr>
          <w:rFonts w:hint="eastAsia" w:ascii="Times New Roman" w:hAnsi="Times New Roman"/>
          <w:i/>
          <w:sz w:val="20"/>
          <w:szCs w:val="20"/>
        </w:rPr>
        <w:t>and carrier j</w:t>
      </w:r>
    </w:p>
    <w:p>
      <w:pPr>
        <w:pStyle w:val="106"/>
        <w:snapToGrid w:val="0"/>
        <w:spacing w:after="0"/>
        <w:jc w:val="both"/>
        <w:rPr>
          <w:rFonts w:ascii="Times New Roman" w:hAnsi="Times New Roman"/>
          <w:i/>
          <w:lang w:val="en-US" w:eastAsia="zh-CN"/>
        </w:rPr>
      </w:pPr>
    </w:p>
    <w:p>
      <w:pPr>
        <w:pStyle w:val="106"/>
        <w:snapToGrid w:val="0"/>
        <w:spacing w:after="0"/>
        <w:jc w:val="both"/>
        <w:rPr>
          <w:rFonts w:ascii="Times New Roman" w:hAnsi="Times New Roman"/>
          <w:b w:val="0"/>
          <w:bCs/>
          <w:i/>
          <w:lang w:val="en-US" w:eastAsia="zh-CN"/>
        </w:rPr>
      </w:pPr>
      <w:r>
        <w:rPr>
          <w:rFonts w:hint="eastAsia" w:ascii="Times New Roman" w:hAnsi="Times New Roman"/>
          <w:i/>
          <w:lang w:val="en-US" w:eastAsia="zh-CN"/>
        </w:rPr>
        <w:t xml:space="preserve">Proposal 9: </w:t>
      </w:r>
      <w:r>
        <w:rPr>
          <w:rFonts w:hint="eastAsia" w:ascii="Times New Roman" w:hAnsi="Times New Roman"/>
          <w:b w:val="0"/>
          <w:bCs/>
          <w:i/>
          <w:lang w:val="en-US" w:eastAsia="zh-CN"/>
        </w:rPr>
        <w:t>Support single DCI triggering aperiodic positioning SRS in two or three</w:t>
      </w:r>
      <w:r>
        <w:rPr>
          <w:rFonts w:ascii="Times New Roman" w:hAnsi="Times New Roman"/>
          <w:b w:val="0"/>
          <w:bCs/>
          <w:i/>
          <w:lang w:val="en-US" w:eastAsia="zh-CN"/>
        </w:rPr>
        <w:t xml:space="preserve"> contiguous NUL</w:t>
      </w:r>
      <w:r>
        <w:rPr>
          <w:rFonts w:hint="eastAsia" w:ascii="Times New Roman" w:hAnsi="Times New Roman"/>
          <w:b w:val="0"/>
          <w:bCs/>
          <w:i/>
          <w:lang w:val="en-US" w:eastAsia="zh-CN"/>
        </w:rPr>
        <w:t xml:space="preserve"> carriers for SRS aggregation. </w:t>
      </w:r>
    </w:p>
    <w:p>
      <w:pPr>
        <w:numPr>
          <w:ilvl w:val="0"/>
          <w:numId w:val="5"/>
        </w:numPr>
        <w:snapToGrid w:val="0"/>
        <w:spacing w:after="0" w:line="240" w:lineRule="auto"/>
        <w:jc w:val="both"/>
        <w:rPr>
          <w:rFonts w:ascii="Times New Roman" w:hAnsi="Times New Roman"/>
          <w:i/>
          <w:iCs/>
          <w:sz w:val="20"/>
          <w:szCs w:val="20"/>
        </w:rPr>
      </w:pPr>
      <w:r>
        <w:rPr>
          <w:rFonts w:hint="eastAsia" w:ascii="Times New Roman" w:hAnsi="Times New Roman"/>
          <w:i/>
          <w:sz w:val="20"/>
          <w:szCs w:val="20"/>
        </w:rPr>
        <w:t xml:space="preserve">Try to reuse the achievement in the agenda of multi-cell PDSCH/PUSCH with a single DCI </w:t>
      </w:r>
    </w:p>
    <w:p>
      <w:pPr>
        <w:snapToGrid w:val="0"/>
        <w:spacing w:before="180" w:beforeLines="50" w:after="180" w:afterLines="50" w:line="240" w:lineRule="auto"/>
        <w:jc w:val="both"/>
        <w:rPr>
          <w:rFonts w:ascii="Times New Roman" w:hAnsi="Times New Roman"/>
          <w:bCs/>
          <w:i/>
          <w:sz w:val="20"/>
          <w:szCs w:val="20"/>
        </w:rPr>
      </w:pPr>
      <w:r>
        <w:rPr>
          <w:rFonts w:hint="eastAsia" w:ascii="Times New Roman" w:hAnsi="Times New Roman"/>
          <w:b/>
          <w:i/>
          <w:sz w:val="20"/>
          <w:szCs w:val="20"/>
        </w:rPr>
        <w:t>Proposal 10:</w:t>
      </w:r>
      <w:r>
        <w:rPr>
          <w:rFonts w:hint="eastAsia" w:ascii="Times New Roman" w:hAnsi="Times New Roman"/>
          <w:bCs/>
          <w:i/>
          <w:sz w:val="20"/>
          <w:szCs w:val="20"/>
        </w:rPr>
        <w:t xml:space="preserve"> To support two or three carrier aggregation of positioning SRS transmission for UE in RRC inactive mode, newly introduce one or two NUL carriers with respective SRS configuration, where the newly introduced carrier(s) and the carrier of the initial BWP are intra-band </w:t>
      </w:r>
      <w:r>
        <w:rPr>
          <w:rFonts w:ascii="Times New Roman" w:hAnsi="Times New Roman"/>
          <w:bCs/>
          <w:i/>
          <w:sz w:val="20"/>
          <w:szCs w:val="20"/>
        </w:rPr>
        <w:t xml:space="preserve">NUL </w:t>
      </w:r>
      <w:r>
        <w:rPr>
          <w:rFonts w:hint="eastAsia" w:ascii="Times New Roman" w:hAnsi="Times New Roman"/>
          <w:bCs/>
          <w:i/>
          <w:sz w:val="20"/>
          <w:szCs w:val="20"/>
        </w:rPr>
        <w:t>contiguous carriers.</w:t>
      </w:r>
    </w:p>
    <w:p>
      <w:pPr>
        <w:snapToGrid w:val="0"/>
        <w:jc w:val="both"/>
        <w:rPr>
          <w:rFonts w:ascii="Times New Roman" w:hAnsi="Times New Roman" w:eastAsia="Times New Roman"/>
          <w:i/>
          <w:sz w:val="20"/>
          <w:szCs w:val="20"/>
          <w:lang w:bidi="ar"/>
        </w:rPr>
      </w:pPr>
      <w:r>
        <w:rPr>
          <w:rFonts w:hint="eastAsia" w:ascii="Times New Roman" w:hAnsi="Times New Roman" w:eastAsia="Times New Roman"/>
          <w:b/>
          <w:bCs/>
          <w:i/>
          <w:iCs/>
          <w:sz w:val="20"/>
          <w:szCs w:val="20"/>
          <w:lang w:bidi="ar"/>
        </w:rPr>
        <w:t>Proposal 11:</w:t>
      </w:r>
      <w:r>
        <w:rPr>
          <w:rFonts w:hint="eastAsia" w:ascii="Times New Roman" w:hAnsi="Times New Roman" w:eastAsia="Times New Roman"/>
          <w:i/>
          <w:iCs/>
          <w:sz w:val="20"/>
          <w:szCs w:val="20"/>
          <w:lang w:bidi="ar"/>
        </w:rPr>
        <w:t xml:space="preserve"> Support that </w:t>
      </w:r>
      <w:r>
        <w:rPr>
          <w:rFonts w:hint="eastAsia" w:ascii="Times New Roman" w:hAnsi="Times New Roman" w:eastAsia="宋体"/>
          <w:i/>
          <w:iCs/>
          <w:sz w:val="20"/>
          <w:szCs w:val="20"/>
        </w:rPr>
        <w:t xml:space="preserve">TRP reports the SRS measurement results with the carrier aggregation information. </w:t>
      </w:r>
      <w:r>
        <w:rPr>
          <w:rFonts w:hint="eastAsia" w:ascii="Times New Roman" w:hAnsi="Times New Roman" w:eastAsia="宋体"/>
          <w:i/>
          <w:sz w:val="20"/>
          <w:szCs w:val="20"/>
        </w:rPr>
        <w:t xml:space="preserve"> </w:t>
      </w:r>
    </w:p>
    <w:p>
      <w:pPr>
        <w:autoSpaceDE w:val="0"/>
        <w:autoSpaceDN w:val="0"/>
        <w:adjustRightInd w:val="0"/>
        <w:snapToGrid w:val="0"/>
        <w:spacing w:after="120" w:line="240" w:lineRule="auto"/>
        <w:jc w:val="both"/>
        <w:rPr>
          <w:rFonts w:ascii="Times New Roman" w:hAnsi="Times New Roman" w:eastAsia="宋体"/>
          <w:bCs/>
          <w:sz w:val="20"/>
          <w:szCs w:val="20"/>
          <w:lang w:eastAsia="ko-KR"/>
        </w:rPr>
      </w:pP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Reference</w:t>
      </w:r>
    </w:p>
    <w:p>
      <w:pPr>
        <w:numPr>
          <w:ilvl w:val="0"/>
          <w:numId w:val="11"/>
        </w:numPr>
        <w:autoSpaceDE w:val="0"/>
        <w:autoSpaceDN w:val="0"/>
        <w:adjustRightInd w:val="0"/>
        <w:snapToGrid w:val="0"/>
        <w:spacing w:after="0" w:line="240" w:lineRule="auto"/>
        <w:jc w:val="both"/>
        <w:rPr>
          <w:rFonts w:ascii="Times New Roman" w:hAnsi="Times New Roman" w:eastAsia="宋体"/>
          <w:sz w:val="20"/>
          <w:szCs w:val="20"/>
        </w:rPr>
      </w:pPr>
      <w:r>
        <w:rPr>
          <w:rFonts w:hint="eastAsia" w:ascii="Times New Roman" w:hAnsi="Times New Roman" w:eastAsia="宋体"/>
          <w:sz w:val="20"/>
          <w:szCs w:val="20"/>
        </w:rPr>
        <w:t>38</w:t>
      </w:r>
      <w:r>
        <w:rPr>
          <w:rFonts w:ascii="Times New Roman" w:hAnsi="Times New Roman" w:eastAsia="宋体"/>
          <w:sz w:val="20"/>
          <w:szCs w:val="20"/>
        </w:rPr>
        <w:t>.</w:t>
      </w:r>
      <w:r>
        <w:rPr>
          <w:rFonts w:hint="eastAsia" w:ascii="Times New Roman" w:hAnsi="Times New Roman" w:eastAsia="宋体"/>
          <w:sz w:val="20"/>
          <w:szCs w:val="20"/>
        </w:rPr>
        <w:t>857 Study on NR Positioning Enhancements (Release 17) V</w:t>
      </w:r>
      <w:r>
        <w:rPr>
          <w:rFonts w:ascii="Times New Roman" w:hAnsi="Times New Roman" w:eastAsia="宋体"/>
          <w:sz w:val="20"/>
          <w:szCs w:val="20"/>
        </w:rPr>
        <w:t>17</w:t>
      </w:r>
      <w:r>
        <w:rPr>
          <w:rFonts w:hint="eastAsia" w:ascii="Times New Roman" w:hAnsi="Times New Roman" w:eastAsia="宋体"/>
          <w:sz w:val="20"/>
          <w:szCs w:val="20"/>
        </w:rPr>
        <w:t>.0.0</w:t>
      </w:r>
    </w:p>
    <w:p>
      <w:pPr>
        <w:numPr>
          <w:ilvl w:val="0"/>
          <w:numId w:val="11"/>
        </w:numPr>
        <w:autoSpaceDE w:val="0"/>
        <w:autoSpaceDN w:val="0"/>
        <w:adjustRightInd w:val="0"/>
        <w:snapToGrid w:val="0"/>
        <w:spacing w:after="0" w:line="240" w:lineRule="auto"/>
        <w:jc w:val="both"/>
        <w:rPr>
          <w:rFonts w:ascii="Times New Roman" w:hAnsi="Times New Roman" w:eastAsia="宋体"/>
          <w:sz w:val="20"/>
          <w:szCs w:val="20"/>
        </w:rPr>
      </w:pPr>
      <w:r>
        <w:rPr>
          <w:rFonts w:hint="eastAsia" w:ascii="Times New Roman" w:hAnsi="Times New Roman" w:eastAsia="宋体"/>
          <w:sz w:val="20"/>
          <w:szCs w:val="20"/>
        </w:rPr>
        <w:t>38.859 Study on expanded and improved NR positioning (Release 18) V18.0.0</w:t>
      </w:r>
    </w:p>
    <w:p>
      <w:pPr>
        <w:numPr>
          <w:ilvl w:val="0"/>
          <w:numId w:val="11"/>
        </w:numPr>
        <w:autoSpaceDE w:val="0"/>
        <w:autoSpaceDN w:val="0"/>
        <w:adjustRightInd w:val="0"/>
        <w:snapToGrid w:val="0"/>
        <w:spacing w:after="0" w:line="240" w:lineRule="auto"/>
        <w:jc w:val="both"/>
        <w:rPr>
          <w:rFonts w:ascii="Times New Roman" w:hAnsi="Times New Roman" w:eastAsia="宋体"/>
          <w:sz w:val="20"/>
          <w:szCs w:val="20"/>
        </w:rPr>
      </w:pPr>
      <w:r>
        <w:rPr>
          <w:rFonts w:hint="eastAsia" w:ascii="Times New Roman" w:hAnsi="Times New Roman" w:eastAsia="宋体"/>
          <w:sz w:val="20"/>
          <w:szCs w:val="20"/>
        </w:rPr>
        <w:t>RP-223549, New WID on Expanded and Improved NR Positioning, Intel Corporation, CATT, Ericsson</w:t>
      </w:r>
    </w:p>
    <w:p>
      <w:pPr>
        <w:numPr>
          <w:ilvl w:val="0"/>
          <w:numId w:val="11"/>
        </w:numPr>
        <w:autoSpaceDE w:val="0"/>
        <w:autoSpaceDN w:val="0"/>
        <w:adjustRightInd w:val="0"/>
        <w:snapToGrid w:val="0"/>
        <w:spacing w:after="0" w:line="240" w:lineRule="auto"/>
        <w:jc w:val="both"/>
        <w:rPr>
          <w:sz w:val="20"/>
          <w:szCs w:val="20"/>
        </w:rPr>
      </w:pPr>
      <w:r>
        <w:rPr>
          <w:rFonts w:hint="eastAsia" w:ascii="Times New Roman" w:hAnsi="Times New Roman" w:eastAsia="宋体"/>
          <w:sz w:val="20"/>
          <w:szCs w:val="20"/>
        </w:rPr>
        <w:t>TS38.101-1, User Equipment (UE) radio transmission and reception; Part 1: Range 1 Standalone (Release 1</w:t>
      </w:r>
      <w:r>
        <w:rPr>
          <w:rFonts w:ascii="Times New Roman" w:hAnsi="Times New Roman" w:eastAsia="宋体"/>
          <w:sz w:val="20"/>
          <w:szCs w:val="20"/>
        </w:rPr>
        <w:t>8</w:t>
      </w:r>
      <w:r>
        <w:rPr>
          <w:rFonts w:hint="eastAsia" w:ascii="Times New Roman" w:hAnsi="Times New Roman" w:eastAsia="宋体"/>
          <w:sz w:val="20"/>
          <w:szCs w:val="20"/>
        </w:rPr>
        <w:t>)</w:t>
      </w:r>
      <w:r>
        <w:rPr>
          <w:rFonts w:ascii="Times New Roman" w:hAnsi="Times New Roman" w:eastAsia="宋体"/>
          <w:sz w:val="20"/>
          <w:szCs w:val="20"/>
        </w:rPr>
        <w:t xml:space="preserve">       </w:t>
      </w:r>
    </w:p>
    <w:p>
      <w:pPr>
        <w:autoSpaceDE w:val="0"/>
        <w:autoSpaceDN w:val="0"/>
        <w:adjustRightInd w:val="0"/>
        <w:snapToGrid w:val="0"/>
        <w:spacing w:after="0" w:line="240" w:lineRule="auto"/>
        <w:jc w:val="both"/>
        <w:rPr>
          <w:sz w:val="20"/>
          <w:szCs w:val="20"/>
        </w:rPr>
      </w:pPr>
      <w:r>
        <w:rPr>
          <w:rFonts w:ascii="Times New Roman" w:hAnsi="Times New Roman" w:eastAsia="宋体"/>
          <w:sz w:val="20"/>
          <w:szCs w:val="20"/>
        </w:rPr>
        <w:t xml:space="preserve">   V18.0.0</w:t>
      </w:r>
    </w:p>
    <w:p>
      <w:pPr>
        <w:autoSpaceDE w:val="0"/>
        <w:autoSpaceDN w:val="0"/>
        <w:adjustRightInd w:val="0"/>
        <w:snapToGrid w:val="0"/>
        <w:spacing w:after="120" w:line="240" w:lineRule="auto"/>
        <w:jc w:val="both"/>
      </w:pP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 xml:space="preserve">Appendix </w:t>
      </w:r>
    </w:p>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As shown in the following table from 38.101-1</w:t>
      </w:r>
      <w:r>
        <w:rPr>
          <w:rFonts w:ascii="Times New Roman" w:hAnsi="Times New Roman"/>
          <w:sz w:val="20"/>
          <w:szCs w:val="20"/>
        </w:rPr>
        <w:t xml:space="preserve"> [4]</w:t>
      </w:r>
      <w:r>
        <w:rPr>
          <w:rFonts w:hint="eastAsia" w:ascii="Times New Roman" w:hAnsi="Times New Roman"/>
          <w:sz w:val="20"/>
          <w:szCs w:val="20"/>
        </w:rPr>
        <w:t>, all bands for intra-band contig</w:t>
      </w:r>
      <w:r>
        <w:rPr>
          <w:rFonts w:ascii="Times New Roman" w:hAnsi="Times New Roman"/>
          <w:sz w:val="20"/>
          <w:szCs w:val="20"/>
        </w:rPr>
        <w:t>u</w:t>
      </w:r>
      <w:r>
        <w:rPr>
          <w:rFonts w:hint="eastAsia" w:ascii="Times New Roman" w:hAnsi="Times New Roman"/>
          <w:sz w:val="20"/>
          <w:szCs w:val="20"/>
        </w:rPr>
        <w:t xml:space="preserve">ous CA operating are </w:t>
      </w:r>
      <w:r>
        <w:rPr>
          <w:rFonts w:ascii="Times New Roman" w:hAnsi="Times New Roman"/>
          <w:sz w:val="20"/>
          <w:szCs w:val="20"/>
        </w:rPr>
        <w:t>for NUL</w:t>
      </w:r>
      <w:r>
        <w:rPr>
          <w:rFonts w:hint="eastAsia" w:ascii="Times New Roman" w:hAnsi="Times New Roman"/>
          <w:sz w:val="20"/>
          <w:szCs w:val="20"/>
        </w:rPr>
        <w:t xml:space="preserve">. </w:t>
      </w:r>
    </w:p>
    <w:p>
      <w:pPr>
        <w:pStyle w:val="62"/>
        <w:rPr>
          <w:rFonts w:ascii="Times New Roman" w:hAnsi="Times New Roman"/>
          <w:b w:val="0"/>
          <w:bCs/>
        </w:rPr>
      </w:pPr>
      <w:r>
        <w:rPr>
          <w:rFonts w:ascii="Times New Roman" w:hAnsi="Times New Roman"/>
          <w:b w:val="0"/>
          <w:bCs/>
        </w:rPr>
        <w:t>Table 5.2A.1-1: Intra-band contiguous CA operating bands in FR1</w:t>
      </w:r>
    </w:p>
    <w:tbl>
      <w:tblPr>
        <w:tblStyle w:val="27"/>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9"/>
              <w:snapToGrid w:val="0"/>
            </w:pPr>
            <w:r>
              <w:t>NR CA Band</w:t>
            </w:r>
          </w:p>
        </w:tc>
        <w:tc>
          <w:tcPr>
            <w:tcW w:w="2497" w:type="dxa"/>
            <w:tcBorders>
              <w:top w:val="single" w:color="auto" w:sz="4" w:space="0"/>
              <w:left w:val="single" w:color="auto" w:sz="4" w:space="0"/>
              <w:bottom w:val="single" w:color="auto" w:sz="4" w:space="0"/>
              <w:right w:val="single" w:color="auto" w:sz="4" w:space="0"/>
            </w:tcBorders>
          </w:tcPr>
          <w:p>
            <w:pPr>
              <w:pStyle w:val="59"/>
              <w:snapToGrid w:val="0"/>
            </w:pPr>
            <w:r>
              <w:t>NR Band</w:t>
            </w:r>
          </w:p>
          <w:p>
            <w:pPr>
              <w:pStyle w:val="59"/>
              <w:snapToGrid w:val="0"/>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CA_n1</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CA_n2</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rPr>
                <w:lang w:eastAsia="en-GB"/>
              </w:rPr>
              <w:t>CA_n3</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rPr>
                <w:lang w:eastAsia="en-GB"/>
              </w:rPr>
              <w:t>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CA_n5</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CA_n7</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CA_n25</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rPr>
                <w:lang w:eastAsia="en-GB"/>
              </w:rPr>
              <w:t>CA_n38</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rPr>
                <w:lang w:eastAsia="en-GB"/>
              </w:rPr>
              <w:t>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CA_n40</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CA_n41</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CA_n46</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CA_n48</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CA_n66</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CA_n71</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CA_n77</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CA_n78</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CA_n79</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60"/>
              <w:snapToGrid w:val="0"/>
            </w:pPr>
            <w:r>
              <w:t>CA_n96</w:t>
            </w:r>
          </w:p>
        </w:tc>
        <w:tc>
          <w:tcPr>
            <w:tcW w:w="2497" w:type="dxa"/>
            <w:tcBorders>
              <w:top w:val="single" w:color="auto" w:sz="4" w:space="0"/>
              <w:left w:val="single" w:color="auto" w:sz="4" w:space="0"/>
              <w:bottom w:val="single" w:color="auto" w:sz="4" w:space="0"/>
              <w:right w:val="single" w:color="auto" w:sz="4" w:space="0"/>
            </w:tcBorders>
          </w:tcPr>
          <w:p>
            <w:pPr>
              <w:pStyle w:val="60"/>
              <w:snapToGrid w:val="0"/>
            </w:pPr>
            <w:r>
              <w:t>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3"/>
              <w:snapToGrid w:val="0"/>
            </w:pPr>
            <w:r>
              <w:t>NOTE 1:</w:t>
            </w:r>
            <w:r>
              <w:tab/>
            </w:r>
            <w:r>
              <w:t>The minimum requirements only apply for non simultaneous Tx/Rx between all carriers for TDD combinations.</w:t>
            </w:r>
          </w:p>
        </w:tc>
      </w:tr>
    </w:tbl>
    <w:p/>
    <w:p>
      <w:pPr>
        <w:pStyle w:val="62"/>
        <w:keepNext w:val="0"/>
        <w:keepLines w:val="0"/>
        <w:widowControl w:val="0"/>
        <w:snapToGrid w:val="0"/>
        <w:spacing w:before="0" w:after="0"/>
        <w:rPr>
          <w:rFonts w:ascii="Times New Roman" w:hAnsi="Times New Roman"/>
          <w:b w:val="0"/>
        </w:rPr>
      </w:pPr>
      <w:r>
        <w:rPr>
          <w:rFonts w:ascii="Times New Roman" w:hAnsi="Times New Roman"/>
          <w:b w:val="0"/>
        </w:rPr>
        <w:t>Table 5.2-1: NR operating bands in FR1</w:t>
      </w:r>
    </w:p>
    <w:tbl>
      <w:tblPr>
        <w:tblStyle w:val="27"/>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59"/>
              <w:keepNext w:val="0"/>
              <w:keepLines w:val="0"/>
              <w:widowControl w:val="0"/>
              <w:snapToGrid w:val="0"/>
              <w:rPr>
                <w:rFonts w:ascii="Times New Roman" w:hAnsi="Times New Roman"/>
                <w:b w:val="0"/>
              </w:rPr>
            </w:pPr>
            <w:r>
              <w:rPr>
                <w:rFonts w:ascii="Times New Roman" w:hAnsi="Times New Roman"/>
                <w:b w:val="0"/>
              </w:rPr>
              <w:t>NR operating band</w:t>
            </w:r>
          </w:p>
        </w:tc>
        <w:tc>
          <w:tcPr>
            <w:tcW w:w="2715"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snapToGrid w:val="0"/>
              <w:rPr>
                <w:rFonts w:ascii="Times New Roman" w:hAnsi="Times New Roman"/>
                <w:b w:val="0"/>
              </w:rPr>
            </w:pPr>
            <w:r>
              <w:rPr>
                <w:rFonts w:ascii="Times New Roman" w:hAnsi="Times New Roman"/>
                <w:b w:val="0"/>
              </w:rPr>
              <w:t xml:space="preserve">Uplink (UL) </w:t>
            </w:r>
            <w:r>
              <w:rPr>
                <w:rFonts w:ascii="Times New Roman" w:hAnsi="Times New Roman"/>
                <w:b w:val="0"/>
                <w:i/>
              </w:rPr>
              <w:t>operating band</w:t>
            </w:r>
            <w:r>
              <w:rPr>
                <w:rFonts w:ascii="Times New Roman" w:hAnsi="Times New Roman"/>
                <w:b w:val="0"/>
              </w:rPr>
              <w:br w:type="textWrapping"/>
            </w:r>
            <w:r>
              <w:rPr>
                <w:rFonts w:ascii="Times New Roman" w:hAnsi="Times New Roman"/>
                <w:b w:val="0"/>
              </w:rPr>
              <w:t>BS receive / UE transmit</w:t>
            </w:r>
          </w:p>
          <w:p>
            <w:pPr>
              <w:pStyle w:val="59"/>
              <w:keepNext w:val="0"/>
              <w:keepLines w:val="0"/>
              <w:widowControl w:val="0"/>
              <w:snapToGrid w:val="0"/>
              <w:rPr>
                <w:rFonts w:ascii="Times New Roman" w:hAnsi="Times New Roman"/>
                <w:b w:val="0"/>
                <w:vertAlign w:val="subscript"/>
              </w:rPr>
            </w:pPr>
            <w:r>
              <w:rPr>
                <w:rFonts w:ascii="Times New Roman" w:hAnsi="Times New Roman"/>
                <w:b w:val="0"/>
              </w:rPr>
              <w:t>F</w:t>
            </w:r>
            <w:r>
              <w:rPr>
                <w:rFonts w:ascii="Times New Roman" w:hAnsi="Times New Roman"/>
                <w:b w:val="0"/>
                <w:vertAlign w:val="subscript"/>
              </w:rPr>
              <w:t xml:space="preserve">UL_low </w:t>
            </w:r>
            <w:r>
              <w:rPr>
                <w:rFonts w:ascii="Times New Roman" w:hAnsi="Times New Roman"/>
                <w:b w:val="0"/>
              </w:rPr>
              <w:t xml:space="preserve">  –  F</w:t>
            </w:r>
            <w:r>
              <w:rPr>
                <w:rFonts w:ascii="Times New Roman" w:hAnsi="Times New Roman"/>
                <w:b w:val="0"/>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snapToGrid w:val="0"/>
              <w:rPr>
                <w:rFonts w:ascii="Times New Roman" w:hAnsi="Times New Roman"/>
                <w:b w:val="0"/>
              </w:rPr>
            </w:pPr>
            <w:r>
              <w:rPr>
                <w:rFonts w:ascii="Times New Roman" w:hAnsi="Times New Roman"/>
                <w:b w:val="0"/>
              </w:rPr>
              <w:t xml:space="preserve">Downlink (DL) </w:t>
            </w:r>
            <w:r>
              <w:rPr>
                <w:rFonts w:ascii="Times New Roman" w:hAnsi="Times New Roman"/>
                <w:b w:val="0"/>
                <w:i/>
              </w:rPr>
              <w:t>operating band</w:t>
            </w:r>
            <w:r>
              <w:rPr>
                <w:rFonts w:ascii="Times New Roman" w:hAnsi="Times New Roman"/>
                <w:b w:val="0"/>
              </w:rPr>
              <w:br w:type="textWrapping"/>
            </w:r>
            <w:r>
              <w:rPr>
                <w:rFonts w:ascii="Times New Roman" w:hAnsi="Times New Roman"/>
                <w:b w:val="0"/>
              </w:rPr>
              <w:t>BS transmit / UE receive</w:t>
            </w:r>
          </w:p>
          <w:p>
            <w:pPr>
              <w:pStyle w:val="59"/>
              <w:keepNext w:val="0"/>
              <w:keepLines w:val="0"/>
              <w:widowControl w:val="0"/>
              <w:snapToGrid w:val="0"/>
              <w:rPr>
                <w:rFonts w:ascii="Times New Roman" w:hAnsi="Times New Roman"/>
                <w:b w:val="0"/>
              </w:rPr>
            </w:pPr>
            <w:r>
              <w:rPr>
                <w:rFonts w:ascii="Times New Roman" w:hAnsi="Times New Roman"/>
                <w:b w:val="0"/>
              </w:rPr>
              <w:t>F</w:t>
            </w:r>
            <w:r>
              <w:rPr>
                <w:rFonts w:ascii="Times New Roman" w:hAnsi="Times New Roman"/>
                <w:b w:val="0"/>
                <w:vertAlign w:val="subscript"/>
              </w:rPr>
              <w:t>DL_low</w:t>
            </w:r>
            <w:r>
              <w:rPr>
                <w:rFonts w:ascii="Times New Roman" w:hAnsi="Times New Roman"/>
                <w:b w:val="0"/>
              </w:rPr>
              <w:t xml:space="preserve">   –  F</w:t>
            </w:r>
            <w:r>
              <w:rPr>
                <w:rFonts w:ascii="Times New Roman" w:hAnsi="Times New Roman"/>
                <w:b w:val="0"/>
                <w:vertAlign w:val="subscript"/>
              </w:rPr>
              <w:t>DL_high</w:t>
            </w:r>
          </w:p>
        </w:tc>
        <w:tc>
          <w:tcPr>
            <w:tcW w:w="908" w:type="dxa"/>
            <w:tcBorders>
              <w:top w:val="single" w:color="auto" w:sz="4" w:space="0"/>
              <w:left w:val="single" w:color="auto" w:sz="4" w:space="0"/>
              <w:bottom w:val="nil"/>
              <w:right w:val="single" w:color="auto" w:sz="4" w:space="0"/>
            </w:tcBorders>
          </w:tcPr>
          <w:p>
            <w:pPr>
              <w:pStyle w:val="59"/>
              <w:keepNext w:val="0"/>
              <w:keepLines w:val="0"/>
              <w:widowControl w:val="0"/>
              <w:snapToGrid w:val="0"/>
              <w:rPr>
                <w:rFonts w:ascii="Times New Roman" w:hAnsi="Times New Roman"/>
                <w:b w:val="0"/>
              </w:rPr>
            </w:pPr>
            <w:r>
              <w:rPr>
                <w:rFonts w:ascii="Times New Roman" w:hAnsi="Times New Roman"/>
                <w:b w:val="0"/>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n1</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2110 MHz – 2170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n2</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1850 MHz – 1910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1930 MHz – 1990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n3</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1805 MHz – 1880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n5</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824 MHz – 849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869 MHz – 894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2500 MHz – 2570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2620 MHz – 2690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n8</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880 MHz – 915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925 MHz – 960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n12</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699 MHz – 716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729 MHz – 746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n13</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777 MHz – 787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746 MHz – 756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n14</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788 MHz – 798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758 MHz – 768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eastAsia="Yu Mincho"/>
                <w:lang w:eastAsia="ja-JP"/>
              </w:rPr>
              <w:t>n18</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815 MHz – 830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860 MHz – 875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eastAsia="Yu Mincho"/>
                <w:lang w:eastAsia="ja-JP"/>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n20</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832 MHz – 862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791 MHz – 821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n24</w:t>
            </w:r>
            <w:r>
              <w:rPr>
                <w:rFonts w:ascii="Times New Roman" w:hAnsi="Times New Roman"/>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1525 MHz – 1559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n25</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1850 MHz – 1915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1930 MHz – 1995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n26</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814 MHz – 849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859 MHz – 894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n28</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703 MHz – 748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758 MHz – 803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n29</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717 MHz – 728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n30</w:t>
            </w:r>
            <w:r>
              <w:rPr>
                <w:rFonts w:ascii="Times New Roman" w:hAnsi="Times New Roman"/>
                <w:vertAlign w:val="superscript"/>
              </w:rPr>
              <w:t>3</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2305 MHz – 2315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2350 MHz – 2360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n34</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2010 MHz – 2025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2010 MHz – 2025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n38</w:t>
            </w:r>
            <w:r>
              <w:rPr>
                <w:rFonts w:ascii="Times New Roman" w:hAnsi="Times New Roman"/>
                <w:vertAlign w:val="superscript"/>
              </w:rPr>
              <w:t>10</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2570 MHz – 2620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2570 MHz – 2620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n39</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1880 MHz – 1920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n40</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2300 MHz – 2400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n41</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2496 MHz – 2690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n46</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5150 MHz – 5925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5150 MHz – 5925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r>
              <w:rPr>
                <w:rFonts w:ascii="Times New Roman" w:hAnsi="Times New Roman"/>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eastAsia="Malgun Gothic"/>
                <w:lang w:eastAsia="ko-KR"/>
              </w:rPr>
            </w:pPr>
            <w:r>
              <w:rPr>
                <w:rFonts w:ascii="Times New Roman" w:hAnsi="Times New Roman" w:eastAsia="Malgun Gothic"/>
                <w:lang w:eastAsia="ko-KR"/>
              </w:rPr>
              <w:t>n47</w:t>
            </w:r>
            <w:r>
              <w:rPr>
                <w:rFonts w:ascii="Times New Roman" w:hAnsi="Times New Roman" w:eastAsia="Malgun Gothic"/>
                <w:vertAlign w:val="superscript"/>
                <w:lang w:eastAsia="ko-KR"/>
              </w:rPr>
              <w:t>11</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5855 MHz – 5925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5855 MHz – 5925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n48</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3550 MHz – 3700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3550 MHz – 3700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n50</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1432 MHz – 1517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1432 MHz – 1517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r>
              <w:rPr>
                <w:rFonts w:ascii="Times New Roman" w:hAnsi="Times New Roman"/>
                <w:vertAlign w:val="superscript"/>
              </w:rPr>
              <w:t>1</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n51</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1427 MHz – 1432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1427 MHz – 1432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n53</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2483.5 MHz – 2495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2483.5 MHz – 2495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n65</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1920 MHz – 2010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2110 MHz – 2200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r>
              <w:rPr>
                <w:rFonts w:ascii="Times New Roman" w:hAnsi="Times New Roman"/>
                <w:vertAlign w:val="superscript"/>
              </w:rPr>
              <w:t>4</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n66</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2110 MHz – 2200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n67</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738 MHz – 758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n70</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1695 MHz – 1710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1995 MHz – 2020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n71</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663 MHz – 698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617 MHz – 652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n74</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1427 MHz – 1470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1475 MHz – 1518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n75</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1432 MHz – 1517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n76</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1427 MHz – 1432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n77</w:t>
            </w:r>
            <w:r>
              <w:rPr>
                <w:rFonts w:ascii="Times New Roman" w:hAnsi="Times New Roman"/>
                <w:vertAlign w:val="superscript"/>
                <w:lang w:eastAsia="zh-CN"/>
              </w:rPr>
              <w:t>12</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3300 MHz – 4200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3300 MHz – 4200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n78</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3300 MHz – 3800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3300 MHz – 3800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n79</w:t>
            </w:r>
            <w:r>
              <w:rPr>
                <w:rFonts w:ascii="Times New Roman" w:hAnsi="Times New Roman"/>
                <w:vertAlign w:val="superscript"/>
              </w:rPr>
              <w:t>17</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4400 MHz – 5000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4400 MHz – 5000 MHz</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n80</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n81</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880 MHz – 915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n82</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832 MHz – 862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n83</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703 MHz – 748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908" w:type="dxa"/>
            <w:tcBorders>
              <w:top w:val="single" w:color="auto" w:sz="4" w:space="0"/>
              <w:left w:val="single" w:color="auto" w:sz="4" w:space="0"/>
              <w:bottom w:val="nil"/>
              <w:right w:val="single" w:color="auto" w:sz="4" w:space="0"/>
            </w:tcBorders>
          </w:tcPr>
          <w:p>
            <w:pPr>
              <w:pStyle w:val="60"/>
              <w:snapToGrid w:val="0"/>
              <w:rPr>
                <w:rFonts w:ascii="Times New Roman" w:hAnsi="Times New Roma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n84</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n85</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698 MHz – 716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728 MHz – 746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n86</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n89</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 xml:space="preserve">824 MHz </w:t>
            </w:r>
            <w:r>
              <w:rPr>
                <w:rFonts w:ascii="Times New Roman" w:hAnsi="Times New Roman"/>
              </w:rPr>
              <w:t>– 849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n90</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2496 MHz – 2690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TDD</w:t>
            </w:r>
            <w:r>
              <w:rPr>
                <w:rFonts w:ascii="Times New Roman" w:hAnsi="Times New Roman"/>
                <w:vertAlign w:val="superscript"/>
              </w:rPr>
              <w:t>5</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n91</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rPr>
              <w:t>832 MHz – 862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1427 MHz – 1432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FDD</w:t>
            </w:r>
            <w:r>
              <w:rPr>
                <w:rFonts w:ascii="Times New Roman" w:hAnsi="Times New Roman"/>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n92</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rPr>
              <w:t>832 MHz – 862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FDD</w:t>
            </w:r>
            <w:r>
              <w:rPr>
                <w:rFonts w:ascii="Times New Roman" w:hAnsi="Times New Roman"/>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n93</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rPr>
              <w:t>880 MHz – 915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1427 MHz – 1432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FDD</w:t>
            </w:r>
            <w:r>
              <w:rPr>
                <w:rFonts w:ascii="Times New Roman" w:hAnsi="Times New Roman"/>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n94</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rPr>
              <w:t>880 MHz – 915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FDD</w:t>
            </w:r>
            <w:r>
              <w:rPr>
                <w:rFonts w:ascii="Times New Roman" w:hAnsi="Times New Roman"/>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n95</w:t>
            </w:r>
            <w:r>
              <w:rPr>
                <w:rFonts w:ascii="Times New Roman" w:hAnsi="Times New Roman"/>
                <w:vertAlign w:val="superscript"/>
                <w:lang w:eastAsia="zh-CN"/>
              </w:rPr>
              <w:t>8</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2010 MHz</w:t>
            </w:r>
            <w:r>
              <w:rPr>
                <w:rFonts w:ascii="Times New Roman" w:hAnsi="Times New Roman"/>
              </w:rPr>
              <w:t xml:space="preserve"> – </w:t>
            </w:r>
            <w:r>
              <w:rPr>
                <w:rFonts w:ascii="Times New Roman" w:hAnsi="Times New Roman"/>
                <w:lang w:eastAsia="zh-CN"/>
              </w:rPr>
              <w:t>2025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N/A</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n96</w:t>
            </w:r>
            <w:r>
              <w:rPr>
                <w:rFonts w:ascii="Times New Roman" w:hAnsi="Times New Roman"/>
                <w:vertAlign w:val="superscript"/>
                <w:lang w:eastAsia="zh-CN"/>
              </w:rPr>
              <w:t>14</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5925 MHz</w:t>
            </w:r>
            <w:r>
              <w:rPr>
                <w:rFonts w:ascii="Times New Roman" w:hAnsi="Times New Roman"/>
              </w:rPr>
              <w:t xml:space="preserve"> – 7125</w:t>
            </w:r>
            <w:r>
              <w:rPr>
                <w:rFonts w:ascii="Times New Roman" w:hAnsi="Times New Roman"/>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5925 MHz</w:t>
            </w:r>
            <w:r>
              <w:rPr>
                <w:rFonts w:ascii="Times New Roman" w:hAnsi="Times New Roman"/>
              </w:rPr>
              <w:t xml:space="preserve"> – 7125</w:t>
            </w:r>
            <w:r>
              <w:rPr>
                <w:rFonts w:ascii="Times New Roman" w:hAnsi="Times New Roman"/>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TDD</w:t>
            </w:r>
            <w:r>
              <w:rPr>
                <w:rFonts w:ascii="Times New Roman" w:hAnsi="Times New Roman"/>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n97</w:t>
            </w:r>
            <w:r>
              <w:rPr>
                <w:rFonts w:ascii="Times New Roman" w:hAnsi="Times New Roman"/>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n98</w:t>
            </w:r>
            <w:r>
              <w:rPr>
                <w:rFonts w:ascii="Times New Roman" w:hAnsi="Times New Roman"/>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rP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rPr>
              <w:t>n99</w:t>
            </w:r>
            <w:r>
              <w:rPr>
                <w:rFonts w:ascii="Times New Roman" w:hAnsi="Times New Roman"/>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rPr>
              <w:t>N/A</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en-GB"/>
              </w:rPr>
            </w:pPr>
            <w:r>
              <w:rPr>
                <w:rFonts w:ascii="Times New Roman" w:hAnsi="Times New Roman"/>
                <w:lang w:eastAsia="en-GB"/>
              </w:rPr>
              <w:t>n100</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en-GB"/>
              </w:rPr>
            </w:pPr>
            <w:r>
              <w:rPr>
                <w:rFonts w:ascii="Times New Roman" w:hAnsi="Times New Roman"/>
                <w:lang w:eastAsia="en-GB"/>
              </w:rPr>
              <w:t>874.4 MHz – 880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en-GB"/>
              </w:rPr>
            </w:pPr>
            <w:r>
              <w:rPr>
                <w:rFonts w:ascii="Times New Roman" w:hAnsi="Times New Roman"/>
                <w:lang w:eastAsia="en-GB"/>
              </w:rPr>
              <w:t>919.4 MHz – 925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en-GB"/>
              </w:rPr>
            </w:pPr>
            <w:r>
              <w:rPr>
                <w:rFonts w:ascii="Times New Roman" w:hAnsi="Times New Roman"/>
                <w:lang w:eastAsia="en-GB"/>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en-GB"/>
              </w:rPr>
              <w:t>n101</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en-GB"/>
              </w:rPr>
              <w:t>1900 MHz – 1910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en-GB"/>
              </w:rPr>
              <w:t>1900 MHz – 1910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lang w:eastAsia="en-GB"/>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en-GB"/>
              </w:rPr>
            </w:pPr>
            <w:r>
              <w:rPr>
                <w:rFonts w:ascii="Times New Roman" w:hAnsi="Times New Roman"/>
              </w:rPr>
              <w:t>n102</w:t>
            </w:r>
            <w:r>
              <w:rPr>
                <w:rFonts w:ascii="Times New Roman" w:hAnsi="Times New Roman"/>
                <w:vertAlign w:val="superscript"/>
              </w:rPr>
              <w:t>14</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en-GB"/>
              </w:rPr>
            </w:pPr>
            <w:r>
              <w:rPr>
                <w:rFonts w:ascii="Times New Roman" w:hAnsi="Times New Roman"/>
                <w:lang w:eastAsia="zh-CN"/>
              </w:rPr>
              <w:t>5925 MHz</w:t>
            </w:r>
            <w:r>
              <w:rPr>
                <w:rFonts w:ascii="Times New Roman" w:hAnsi="Times New Roman"/>
              </w:rPr>
              <w:t xml:space="preserve"> – 6425</w:t>
            </w:r>
            <w:r>
              <w:rPr>
                <w:rFonts w:ascii="Times New Roman" w:hAnsi="Times New Roman"/>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en-GB"/>
              </w:rPr>
            </w:pPr>
            <w:r>
              <w:rPr>
                <w:rFonts w:ascii="Times New Roman" w:hAnsi="Times New Roman"/>
                <w:lang w:eastAsia="zh-CN"/>
              </w:rPr>
              <w:t>5925 MHz</w:t>
            </w:r>
            <w:r>
              <w:rPr>
                <w:rFonts w:ascii="Times New Roman" w:hAnsi="Times New Roman"/>
              </w:rPr>
              <w:t xml:space="preserve"> – 6425</w:t>
            </w:r>
            <w:r>
              <w:rPr>
                <w:rFonts w:ascii="Times New Roman" w:hAnsi="Times New Roman"/>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en-GB"/>
              </w:rPr>
            </w:pPr>
            <w:r>
              <w:rPr>
                <w:rFonts w:ascii="Times New Roman" w:hAnsi="Times New Roman"/>
              </w:rPr>
              <w:t>TDD</w:t>
            </w:r>
            <w:r>
              <w:rPr>
                <w:rFonts w:ascii="Times New Roman" w:hAnsi="Times New Roman"/>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n104</w:t>
            </w:r>
            <w:r>
              <w:rPr>
                <w:rFonts w:ascii="Times New Roman" w:hAnsi="Times New Roman"/>
                <w:vertAlign w:val="superscript"/>
              </w:rPr>
              <w:t>17,18</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6425 MHz</w:t>
            </w:r>
            <w:r>
              <w:rPr>
                <w:rFonts w:ascii="Times New Roman" w:hAnsi="Times New Roman"/>
              </w:rPr>
              <w:t xml:space="preserve"> – 7125</w:t>
            </w:r>
            <w:r>
              <w:rPr>
                <w:rFonts w:ascii="Times New Roman" w:hAnsi="Times New Roman"/>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6425 MHz</w:t>
            </w:r>
            <w:r>
              <w:rPr>
                <w:rFonts w:ascii="Times New Roman" w:hAnsi="Times New Roman"/>
              </w:rPr>
              <w:t xml:space="preserve"> – 7125</w:t>
            </w:r>
            <w:r>
              <w:rPr>
                <w:rFonts w:ascii="Times New Roman" w:hAnsi="Times New Roman"/>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n105</w:t>
            </w:r>
          </w:p>
        </w:tc>
        <w:tc>
          <w:tcPr>
            <w:tcW w:w="2715"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663 MHz</w:t>
            </w:r>
            <w:r>
              <w:rPr>
                <w:rFonts w:ascii="Times New Roman" w:hAnsi="Times New Roman"/>
              </w:rPr>
              <w:t xml:space="preserve"> – 703</w:t>
            </w:r>
            <w:r>
              <w:rPr>
                <w:rFonts w:ascii="Times New Roman" w:hAnsi="Times New Roman"/>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lang w:eastAsia="zh-CN"/>
              </w:rPr>
            </w:pPr>
            <w:r>
              <w:rPr>
                <w:rFonts w:ascii="Times New Roman" w:hAnsi="Times New Roman"/>
                <w:lang w:eastAsia="zh-CN"/>
              </w:rPr>
              <w:t>612 MHz</w:t>
            </w:r>
            <w:r>
              <w:rPr>
                <w:rFonts w:ascii="Times New Roman" w:hAnsi="Times New Roman"/>
              </w:rPr>
              <w:t xml:space="preserve"> – 652</w:t>
            </w:r>
            <w:r>
              <w:rPr>
                <w:rFonts w:ascii="Times New Roman" w:hAnsi="Times New Roman"/>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rPr>
            </w:pPr>
            <w:r>
              <w:rPr>
                <w:rFonts w:ascii="Times New Roman" w:hAnsi="Times New Roman"/>
              </w:rPr>
              <w:t>FDD</w:t>
            </w:r>
          </w:p>
        </w:tc>
      </w:tr>
      <w:tr>
        <w:tblPrEx>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tcPr>
          <w:p>
            <w:pPr>
              <w:pStyle w:val="63"/>
              <w:snapToGrid w:val="0"/>
              <w:jc w:val="center"/>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UE that complies with the NR Band n50 minimum requirements in this specification         shall also comply with the NR Band n51 minimum requirements.</w:t>
            </w:r>
          </w:p>
          <w:p>
            <w:pPr>
              <w:pStyle w:val="63"/>
              <w:snapToGrid w:val="0"/>
              <w:jc w:val="center"/>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UE that complies with the NR Band n75 minimum requirements in this specification         shall also comply with the NR Band n76 minimum requirements.</w:t>
            </w:r>
          </w:p>
          <w:p>
            <w:pPr>
              <w:pStyle w:val="63"/>
              <w:snapToGrid w:val="0"/>
              <w:jc w:val="center"/>
              <w:rPr>
                <w:rFonts w:ascii="Times New Roman" w:hAnsi="Times New Roman"/>
                <w:szCs w:val="18"/>
              </w:rPr>
            </w:pPr>
            <w:r>
              <w:rPr>
                <w:rFonts w:ascii="Times New Roman" w:hAnsi="Times New Roman"/>
              </w:rPr>
              <w:t>NOTE 3:</w:t>
            </w:r>
            <w:r>
              <w:rPr>
                <w:rFonts w:ascii="Times New Roman" w:hAnsi="Times New Roman"/>
              </w:rPr>
              <w:tab/>
            </w:r>
            <w:r>
              <w:rPr>
                <w:rFonts w:ascii="Times New Roman" w:hAnsi="Times New Roman"/>
              </w:rPr>
              <w:t>Uplink transmission is not allowed at this band for UE with external vehicle-mounted antennas</w:t>
            </w:r>
            <w:r>
              <w:rPr>
                <w:rFonts w:ascii="Times New Roman" w:hAnsi="Times New Roman"/>
                <w:szCs w:val="18"/>
              </w:rPr>
              <w:t>.</w:t>
            </w:r>
          </w:p>
          <w:p>
            <w:pPr>
              <w:pStyle w:val="63"/>
              <w:snapToGrid w:val="0"/>
              <w:jc w:val="center"/>
              <w:rPr>
                <w:rFonts w:ascii="Times New Roman" w:hAnsi="Times New Roman"/>
              </w:rPr>
            </w:pPr>
            <w:r>
              <w:rPr>
                <w:rFonts w:ascii="Times New Roman" w:hAnsi="Times New Roman"/>
              </w:rPr>
              <w:t>NOTE 4:</w:t>
            </w:r>
            <w:r>
              <w:rPr>
                <w:rFonts w:ascii="Times New Roman" w:hAnsi="Times New Roman"/>
              </w:rPr>
              <w:tab/>
            </w:r>
            <w:r>
              <w:rPr>
                <w:rFonts w:ascii="Times New Roman" w:hAnsi="Times New Roman"/>
              </w:rPr>
              <w:t>A UE that complies with the NR Band n65 minimum requirements in this specification shall also comply with the NR Band n1 minimum requirements.</w:t>
            </w:r>
          </w:p>
          <w:p>
            <w:pPr>
              <w:pStyle w:val="63"/>
              <w:snapToGrid w:val="0"/>
              <w:jc w:val="center"/>
              <w:rPr>
                <w:rFonts w:ascii="Times New Roman" w:hAnsi="Times New Roman"/>
              </w:rPr>
            </w:pPr>
            <w:r>
              <w:rPr>
                <w:rFonts w:ascii="Times New Roman" w:hAnsi="Times New Roman"/>
              </w:rPr>
              <w:t>NOTE 5:</w:t>
            </w:r>
            <w:r>
              <w:rPr>
                <w:rFonts w:ascii="Times New Roman" w:hAnsi="Times New Roman"/>
              </w:rPr>
              <w:tab/>
            </w:r>
            <w:r>
              <w:rPr>
                <w:rFonts w:ascii="Times New Roman" w:hAnsi="Times New Roman"/>
              </w:rPr>
              <w:t>Unless otherwise stated, the applicability of requirements for Band n90 is in accordance with that for Band n41; a UE supporting Band n90 shall meet the requirements for Band n41. A UE supporting Band n90 shall also support band n41.</w:t>
            </w:r>
          </w:p>
          <w:p>
            <w:pPr>
              <w:pStyle w:val="63"/>
              <w:snapToGrid w:val="0"/>
              <w:jc w:val="center"/>
              <w:rPr>
                <w:rFonts w:ascii="Times New Roman" w:hAnsi="Times New Roman"/>
              </w:rPr>
            </w:pPr>
            <w:r>
              <w:rPr>
                <w:rFonts w:ascii="Times New Roman" w:hAnsi="Times New Roman"/>
              </w:rPr>
              <w:t>NOTE 6:</w:t>
            </w:r>
            <w:r>
              <w:rPr>
                <w:rFonts w:ascii="Times New Roman" w:hAnsi="Times New Roman"/>
              </w:rPr>
              <w:tab/>
            </w:r>
            <w:r>
              <w:rPr>
                <w:rFonts w:ascii="Times New Roman" w:hAnsi="Times New Roman"/>
              </w:rPr>
              <w:t>A UE that supports NR Band n66 shall receive in the entire DL operating band.</w:t>
            </w:r>
          </w:p>
          <w:p>
            <w:pPr>
              <w:pStyle w:val="63"/>
              <w:snapToGrid w:val="0"/>
              <w:jc w:val="center"/>
              <w:rPr>
                <w:rFonts w:ascii="Times New Roman" w:hAnsi="Times New Roman"/>
              </w:rPr>
            </w:pPr>
            <w:r>
              <w:rPr>
                <w:rFonts w:ascii="Times New Roman" w:hAnsi="Times New Roman"/>
              </w:rPr>
              <w:t>NOTE 7:</w:t>
            </w:r>
            <w:r>
              <w:rPr>
                <w:rFonts w:ascii="Times New Roman" w:hAnsi="Times New Roman"/>
              </w:rPr>
              <w:tab/>
            </w:r>
            <w:r>
              <w:rPr>
                <w:rFonts w:ascii="Times New Roman" w:hAnsi="Times New Roman"/>
              </w:rPr>
              <w:t>A UE that supports NR Band n66 and CA operation in any CA band shall also comply with the minimum requirements specified for the DL CA configurations CA_n66B and CA_n66(2A) in the current version of the specification.</w:t>
            </w:r>
          </w:p>
          <w:p>
            <w:pPr>
              <w:pStyle w:val="63"/>
              <w:snapToGrid w:val="0"/>
              <w:jc w:val="center"/>
              <w:rPr>
                <w:rFonts w:ascii="Times New Roman" w:hAnsi="Times New Roman"/>
              </w:rPr>
            </w:pPr>
            <w:r>
              <w:rPr>
                <w:rFonts w:ascii="Times New Roman" w:hAnsi="Times New Roman"/>
              </w:rPr>
              <w:t xml:space="preserve">NOTE </w:t>
            </w:r>
            <w:r>
              <w:rPr>
                <w:rFonts w:ascii="Times New Roman" w:hAnsi="Times New Roman"/>
                <w:lang w:eastAsia="zh-CN"/>
              </w:rPr>
              <w:t>8</w:t>
            </w:r>
            <w:r>
              <w:rPr>
                <w:rFonts w:ascii="Times New Roman" w:hAnsi="Times New Roman"/>
              </w:rPr>
              <w:t>:</w:t>
            </w:r>
            <w:r>
              <w:rPr>
                <w:rFonts w:ascii="Times New Roman" w:hAnsi="Times New Roman"/>
              </w:rPr>
              <w:tab/>
            </w:r>
            <w:r>
              <w:rPr>
                <w:rFonts w:ascii="Times New Roman" w:hAnsi="Times New Roman"/>
                <w:lang w:eastAsia="zh-CN"/>
              </w:rPr>
              <w:t>This band is applicable in China only.</w:t>
            </w:r>
          </w:p>
          <w:p>
            <w:pPr>
              <w:pStyle w:val="63"/>
              <w:snapToGrid w:val="0"/>
              <w:jc w:val="center"/>
              <w:rPr>
                <w:rFonts w:ascii="Times New Roman" w:hAnsi="Times New Roman"/>
              </w:rPr>
            </w:pPr>
            <w:r>
              <w:rPr>
                <w:rFonts w:ascii="Times New Roman" w:hAnsi="Times New Roman"/>
              </w:rPr>
              <w:t>NOTE 9:</w:t>
            </w:r>
            <w:r>
              <w:rPr>
                <w:rFonts w:ascii="Times New Roman" w:hAnsi="Times New Roman"/>
              </w:rPr>
              <w:tab/>
            </w:r>
            <w:r>
              <w:rPr>
                <w:rFonts w:ascii="Times New Roman" w:hAnsi="Times New Roman"/>
              </w:rPr>
              <w:t>Variable duplex operation does not enable dynamic variable duplex configuration by the network, and is used such that DL and UL frequency ranges are supported independently in any valid frequency range for the band.</w:t>
            </w:r>
          </w:p>
          <w:p>
            <w:pPr>
              <w:pStyle w:val="63"/>
              <w:snapToGrid w:val="0"/>
              <w:jc w:val="center"/>
              <w:rPr>
                <w:rFonts w:ascii="Times New Roman" w:hAnsi="Times New Roman"/>
              </w:rPr>
            </w:pPr>
            <w:r>
              <w:rPr>
                <w:rFonts w:ascii="Times New Roman" w:hAnsi="Times New Roman"/>
              </w:rPr>
              <w:t>NOTE 10:</w:t>
            </w:r>
            <w:r>
              <w:rPr>
                <w:rFonts w:ascii="Times New Roman" w:hAnsi="Times New Roman"/>
              </w:rPr>
              <w:tab/>
            </w:r>
            <w:r>
              <w:rPr>
                <w:rFonts w:ascii="Times New Roman" w:hAnsi="Times New Roman"/>
                <w:lang w:eastAsia="en-GB"/>
              </w:rPr>
              <w:t>When this band is used for V2X SL service, the band is exclusively used for NR V2X in particular regions.</w:t>
            </w:r>
          </w:p>
          <w:p>
            <w:pPr>
              <w:pStyle w:val="63"/>
              <w:snapToGrid w:val="0"/>
              <w:jc w:val="center"/>
              <w:rPr>
                <w:rFonts w:ascii="Times New Roman" w:hAnsi="Times New Roman"/>
                <w:szCs w:val="18"/>
              </w:rPr>
            </w:pPr>
            <w:r>
              <w:rPr>
                <w:rFonts w:ascii="Times New Roman" w:hAnsi="Times New Roman"/>
              </w:rPr>
              <w:t>NOTE 11:</w:t>
            </w:r>
            <w:r>
              <w:rPr>
                <w:rFonts w:ascii="Times New Roman" w:hAnsi="Times New Roman"/>
              </w:rPr>
              <w:tab/>
            </w:r>
            <w:r>
              <w:rPr>
                <w:rFonts w:ascii="Times New Roman" w:hAnsi="Times New Roman"/>
                <w:szCs w:val="18"/>
              </w:rPr>
              <w:t>This band is unlicensed band used for V2X service. There is no expected network deployment in this band.</w:t>
            </w:r>
          </w:p>
          <w:p>
            <w:pPr>
              <w:pStyle w:val="63"/>
              <w:snapToGrid w:val="0"/>
              <w:jc w:val="center"/>
              <w:rPr>
                <w:rFonts w:ascii="Times New Roman" w:hAnsi="Times New Roman"/>
              </w:rPr>
            </w:pPr>
            <w:r>
              <w:rPr>
                <w:rFonts w:ascii="Times New Roman" w:hAnsi="Times New Roman"/>
              </w:rPr>
              <w:t>NOTE 12:</w:t>
            </w:r>
            <w:r>
              <w:rPr>
                <w:rFonts w:ascii="Times New Roman" w:hAnsi="Times New Roman"/>
              </w:rPr>
              <w:tab/>
            </w:r>
            <w:r>
              <w:rPr>
                <w:rFonts w:ascii="Times New Roman" w:hAnsi="Times New Roman"/>
                <w:lang w:val="en-US"/>
              </w:rPr>
              <w:t>In the USA this band is restricted to 3450 – 3550 MHz and 3700 – 3980 MHz. In Canada this band is restricted to 3450 – 3650 MHz and 3650 – 3980 MHz.</w:t>
            </w:r>
          </w:p>
          <w:p>
            <w:pPr>
              <w:pStyle w:val="63"/>
              <w:snapToGrid w:val="0"/>
              <w:jc w:val="center"/>
              <w:rPr>
                <w:rFonts w:ascii="Times New Roman" w:hAnsi="Times New Roman"/>
                <w:lang w:eastAsia="zh-CN"/>
              </w:rPr>
            </w:pPr>
            <w:r>
              <w:rPr>
                <w:rFonts w:ascii="Times New Roman" w:hAnsi="Times New Roman"/>
              </w:rPr>
              <w:t>NOTE 13:</w:t>
            </w:r>
            <w:r>
              <w:rPr>
                <w:rFonts w:ascii="Times New Roman" w:hAnsi="Times New Roman"/>
              </w:rPr>
              <w:tab/>
            </w:r>
            <w:r>
              <w:rPr>
                <w:rFonts w:ascii="Times New Roman" w:hAnsi="Times New Roman"/>
              </w:rPr>
              <w:t>This band is</w:t>
            </w:r>
            <w:r>
              <w:rPr>
                <w:rFonts w:ascii="Times New Roman" w:hAnsi="Times New Roman"/>
                <w:lang w:eastAsia="zh-CN"/>
              </w:rPr>
              <w:t xml:space="preserve"> restricted to operation with shared spectrum channel access as defined in 37.213.</w:t>
            </w:r>
          </w:p>
          <w:p>
            <w:pPr>
              <w:pStyle w:val="63"/>
              <w:snapToGrid w:val="0"/>
              <w:jc w:val="center"/>
              <w:rPr>
                <w:rFonts w:ascii="Times New Roman" w:hAnsi="Times New Roman"/>
              </w:rPr>
            </w:pPr>
            <w:r>
              <w:rPr>
                <w:rFonts w:ascii="Times New Roman" w:hAnsi="Times New Roman"/>
              </w:rPr>
              <w:t>NOTE 14:</w:t>
            </w:r>
            <w:r>
              <w:rPr>
                <w:rFonts w:ascii="Times New Roman" w:hAnsi="Times New Roman"/>
              </w:rPr>
              <w:tab/>
            </w:r>
            <w:r>
              <w:rPr>
                <w:rFonts w:ascii="Times New Roman" w:hAnsi="Times New Roman"/>
                <w:color w:val="000000" w:themeColor="text1"/>
                <w:lang w:val="en-US" w:eastAsia="zh-CN"/>
                <w14:textFill>
                  <w14:solidFill>
                    <w14:schemeClr w14:val="tx1"/>
                  </w14:solidFill>
                </w14:textFill>
              </w:rPr>
              <w:t>This band is applicable only in countries/regions designating this band for shared-spectrum access use subject to country-specific conditions.</w:t>
            </w:r>
          </w:p>
          <w:p>
            <w:pPr>
              <w:pStyle w:val="63"/>
              <w:snapToGrid w:val="0"/>
              <w:jc w:val="center"/>
              <w:rPr>
                <w:rFonts w:ascii="Times New Roman" w:hAnsi="Times New Roman"/>
              </w:rPr>
            </w:pPr>
            <w:r>
              <w:rPr>
                <w:rFonts w:ascii="Times New Roman" w:hAnsi="Times New Roman"/>
              </w:rP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3"/>
              <w:snapToGrid w:val="0"/>
              <w:jc w:val="center"/>
              <w:rPr>
                <w:rFonts w:ascii="Times New Roman" w:hAnsi="Times New Roman"/>
                <w:szCs w:val="18"/>
              </w:rPr>
            </w:pPr>
            <w:r>
              <w:rPr>
                <w:rFonts w:ascii="Times New Roman" w:hAnsi="Times New Roman"/>
              </w:rPr>
              <w:t xml:space="preserve">NOTE 16: </w:t>
            </w:r>
            <w:r>
              <w:rPr>
                <w:rFonts w:ascii="Times New Roman" w:hAnsi="Times New Roman"/>
                <w:szCs w:val="18"/>
              </w:rPr>
              <w:t>DL operation in this band is restricted to 1526 – 1536 MHz and UL operation is restricted to 1627.5 – 1637.5 MHz and 1646.5 – 1656.5 MHz.</w:t>
            </w:r>
          </w:p>
          <w:p>
            <w:pPr>
              <w:pStyle w:val="63"/>
              <w:snapToGrid w:val="0"/>
              <w:jc w:val="center"/>
              <w:rPr>
                <w:rFonts w:ascii="Times New Roman" w:hAnsi="Times New Roman" w:eastAsia="Yu Mincho"/>
              </w:rPr>
            </w:pPr>
            <w:r>
              <w:rPr>
                <w:rFonts w:ascii="Times New Roman" w:hAnsi="Times New Roman" w:eastAsia="Yu Mincho"/>
              </w:rPr>
              <w:t>NOTE 17: For this band, CORESET#0 values from Table 13-5 or Table 13-6 in [8, TS 38.213] are applied regardless of the minimum channel bandwidth.</w:t>
            </w:r>
          </w:p>
          <w:p>
            <w:pPr>
              <w:pStyle w:val="63"/>
              <w:snapToGrid w:val="0"/>
              <w:jc w:val="center"/>
              <w:rPr>
                <w:rFonts w:ascii="Times New Roman" w:hAnsi="Times New Roman"/>
              </w:rPr>
            </w:pPr>
            <w:r>
              <w:rPr>
                <w:rFonts w:ascii="Times New Roman" w:hAnsi="Times New Roman" w:eastAsia="Yu Mincho"/>
              </w:rPr>
              <w:t>NOTE 18: [This band is applicable only to RCC countries in accordance with RCC Recommendation 1/21]</w:t>
            </w:r>
          </w:p>
        </w:tc>
      </w:tr>
    </w:tbl>
    <w:p>
      <w:pPr>
        <w:snapToGrid w:val="0"/>
        <w:spacing w:after="0" w:line="240" w:lineRule="auto"/>
        <w:rPr>
          <w:rFonts w:ascii="Times New Roman" w:hAnsi="Times New Roman"/>
        </w:rPr>
      </w:pPr>
    </w:p>
    <w:bookmarkEnd w:id="30"/>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17</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D3C0B3B"/>
    <w:multiLevelType w:val="multilevel"/>
    <w:tmpl w:val="BD3C0B3B"/>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08404D4A"/>
    <w:multiLevelType w:val="multilevel"/>
    <w:tmpl w:val="08404D4A"/>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4">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52B667C"/>
    <w:multiLevelType w:val="singleLevel"/>
    <w:tmpl w:val="452B667C"/>
    <w:lvl w:ilvl="0" w:tentative="0">
      <w:start w:val="1"/>
      <w:numFmt w:val="bullet"/>
      <w:lvlText w:val="∙"/>
      <w:lvlJc w:val="left"/>
      <w:pPr>
        <w:ind w:left="420" w:hanging="420"/>
      </w:pPr>
      <w:rPr>
        <w:rFonts w:hint="default" w:ascii="Arial" w:hAnsi="Arial" w:cs="Arial"/>
      </w:rPr>
    </w:lvl>
  </w:abstractNum>
  <w:abstractNum w:abstractNumId="7">
    <w:nsid w:val="46CE0147"/>
    <w:multiLevelType w:val="multilevel"/>
    <w:tmpl w:val="46CE0147"/>
    <w:lvl w:ilvl="0" w:tentative="0">
      <w:start w:val="1"/>
      <w:numFmt w:val="bullet"/>
      <w:lvlText w:val="–"/>
      <w:lvlJc w:val="left"/>
      <w:pPr>
        <w:ind w:left="360" w:hanging="360"/>
      </w:pPr>
      <w:rPr>
        <w:rFonts w:hint="default" w:ascii="Arial" w:hAnsi="Arial"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8">
    <w:nsid w:val="52E554AF"/>
    <w:multiLevelType w:val="multilevel"/>
    <w:tmpl w:val="52E554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5CE147A"/>
    <w:multiLevelType w:val="multilevel"/>
    <w:tmpl w:val="55CE147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2"/>
  </w:num>
  <w:num w:numId="4">
    <w:abstractNumId w:val="10"/>
  </w:num>
  <w:num w:numId="5">
    <w:abstractNumId w:val="1"/>
  </w:num>
  <w:num w:numId="6">
    <w:abstractNumId w:val="9"/>
  </w:num>
  <w:num w:numId="7">
    <w:abstractNumId w:val="6"/>
  </w:num>
  <w:num w:numId="8">
    <w:abstractNumId w:val="7"/>
  </w:num>
  <w:num w:numId="9">
    <w:abstractNumId w:val="3"/>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C20"/>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216"/>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FE1"/>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B3"/>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16C"/>
    <w:rsid w:val="00FC67BF"/>
    <w:rsid w:val="00FC6A5C"/>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968D8"/>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81B43"/>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14244F"/>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21B8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01ED"/>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51ED2"/>
    <w:rsid w:val="67DA0F51"/>
    <w:rsid w:val="67DC5320"/>
    <w:rsid w:val="67E1309E"/>
    <w:rsid w:val="67E539C0"/>
    <w:rsid w:val="67E82156"/>
    <w:rsid w:val="67E931FD"/>
    <w:rsid w:val="67ED660C"/>
    <w:rsid w:val="67F55A05"/>
    <w:rsid w:val="67FB0F97"/>
    <w:rsid w:val="6804621B"/>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5C22D4"/>
    <w:rsid w:val="6C644122"/>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F789B"/>
    <w:rsid w:val="7B101C17"/>
    <w:rsid w:val="7B10743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59" w:semiHidden="0" w:name="Table Grid"/>
    <w:lsdException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emf"/><Relationship Id="rId7" Type="http://schemas.openxmlformats.org/officeDocument/2006/relationships/oleObject" Target="embeddings/Document1.doc"/><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jpeg"/><Relationship Id="rId15" Type="http://schemas.openxmlformats.org/officeDocument/2006/relationships/image" Target="media/image7.emf"/><Relationship Id="rId14" Type="http://schemas.openxmlformats.org/officeDocument/2006/relationships/image" Target="media/image6.jpeg"/><Relationship Id="rId13" Type="http://schemas.openxmlformats.org/officeDocument/2006/relationships/image" Target="media/image5.emf"/><Relationship Id="rId12" Type="http://schemas.openxmlformats.org/officeDocument/2006/relationships/oleObject" Target="embeddings/oleObject1.bin"/><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BE486F-6398-440C-B6D3-78F8004AA5D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19</Pages>
  <Words>5780</Words>
  <Characters>32950</Characters>
  <Lines>274</Lines>
  <Paragraphs>77</Paragraphs>
  <TotalTime>390</TotalTime>
  <ScaleCrop>false</ScaleCrop>
  <LinksUpToDate>false</LinksUpToDate>
  <CharactersWithSpaces>38653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00335016</cp:lastModifiedBy>
  <dcterms:modified xsi:type="dcterms:W3CDTF">2023-02-17T09:30:56Z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5A0F54430D0B45B09D0C3395EC4C4692</vt:lpwstr>
  </property>
</Properties>
</file>